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C3" w:rsidRPr="00BE0B42" w:rsidRDefault="00FC5DC3" w:rsidP="00FC5DC3">
      <w:pPr>
        <w:pStyle w:val="Heading1"/>
        <w:ind w:left="142"/>
      </w:pPr>
      <w:bookmarkStart w:id="0" w:name="_GoBack"/>
      <w:bookmarkEnd w:id="0"/>
      <w:r w:rsidRPr="00BE0B42">
        <w:t>Finance</w:t>
      </w:r>
      <w:r>
        <w:t xml:space="preserve"> and </w:t>
      </w:r>
      <w:r w:rsidRPr="00BE0B42">
        <w:t xml:space="preserve">Performance </w:t>
      </w:r>
      <w:r>
        <w:t>Committee of the whole</w:t>
      </w:r>
      <w:r w:rsidR="00133AD6">
        <w:t xml:space="preserve"> - </w:t>
      </w:r>
      <w:r w:rsidR="00133AD6" w:rsidRPr="00BE0B42">
        <w:t>Terms of Reference</w:t>
      </w:r>
    </w:p>
    <w:p w:rsidR="00FC5DC3" w:rsidRPr="00155639" w:rsidRDefault="00FC5DC3" w:rsidP="00FC5DC3">
      <w:pPr>
        <w:spacing w:before="15" w:line="200" w:lineRule="exact"/>
        <w:rPr>
          <w:rFonts w:asciiTheme="minorHAnsi" w:hAnsiTheme="minorHAnsi"/>
        </w:rPr>
      </w:pPr>
    </w:p>
    <w:tbl>
      <w:tblPr>
        <w:tblStyle w:val="TableGrid"/>
        <w:tblW w:w="8989" w:type="dxa"/>
        <w:tblInd w:w="220" w:type="dxa"/>
        <w:tblLook w:val="04A0" w:firstRow="1" w:lastRow="0" w:firstColumn="1" w:lastColumn="0" w:noHBand="0" w:noVBand="1"/>
      </w:tblPr>
      <w:tblGrid>
        <w:gridCol w:w="1760"/>
        <w:gridCol w:w="7229"/>
      </w:tblGrid>
      <w:tr w:rsidR="00FC5DC3" w:rsidRPr="00155639" w:rsidTr="00242B79">
        <w:tc>
          <w:tcPr>
            <w:tcW w:w="1760" w:type="dxa"/>
          </w:tcPr>
          <w:p w:rsidR="00FC5DC3" w:rsidRPr="00BE0B42" w:rsidRDefault="00FC5DC3" w:rsidP="00242B79">
            <w:pPr>
              <w:spacing w:before="60" w:after="60"/>
              <w:ind w:right="-20"/>
              <w:rPr>
                <w:rFonts w:asciiTheme="minorHAnsi" w:hAnsiTheme="minorHAnsi"/>
              </w:rPr>
            </w:pPr>
            <w:r w:rsidRPr="00BE0B42">
              <w:rPr>
                <w:rFonts w:asciiTheme="minorHAnsi" w:hAnsiTheme="minorHAnsi"/>
              </w:rPr>
              <w:t>Chair</w:t>
            </w:r>
          </w:p>
        </w:tc>
        <w:tc>
          <w:tcPr>
            <w:tcW w:w="7229" w:type="dxa"/>
          </w:tcPr>
          <w:p w:rsidR="00FC5DC3" w:rsidRPr="00BE0B42" w:rsidRDefault="00FC5DC3" w:rsidP="00242B79">
            <w:pPr>
              <w:spacing w:before="60" w:after="60"/>
              <w:ind w:right="-20"/>
              <w:rPr>
                <w:rFonts w:asciiTheme="minorHAnsi" w:hAnsiTheme="minorHAnsi"/>
              </w:rPr>
            </w:pPr>
            <w:r>
              <w:rPr>
                <w:rFonts w:asciiTheme="minorHAnsi" w:hAnsiTheme="minorHAnsi"/>
              </w:rPr>
              <w:t xml:space="preserve">Councillor Manji </w:t>
            </w:r>
          </w:p>
        </w:tc>
      </w:tr>
      <w:tr w:rsidR="00FC5DC3" w:rsidRPr="00155639" w:rsidTr="00242B79">
        <w:tc>
          <w:tcPr>
            <w:tcW w:w="1760" w:type="dxa"/>
          </w:tcPr>
          <w:p w:rsidR="00FC5DC3" w:rsidRPr="00BE0B42" w:rsidRDefault="00FC5DC3" w:rsidP="00242B79">
            <w:pPr>
              <w:spacing w:before="60" w:after="60"/>
              <w:ind w:right="-20"/>
              <w:rPr>
                <w:rFonts w:asciiTheme="minorHAnsi" w:hAnsiTheme="minorHAnsi"/>
              </w:rPr>
            </w:pPr>
            <w:r>
              <w:rPr>
                <w:rFonts w:asciiTheme="minorHAnsi" w:hAnsiTheme="minorHAnsi"/>
              </w:rPr>
              <w:t xml:space="preserve">Deputy Chair </w:t>
            </w:r>
          </w:p>
        </w:tc>
        <w:tc>
          <w:tcPr>
            <w:tcW w:w="7229" w:type="dxa"/>
          </w:tcPr>
          <w:p w:rsidR="00FC5DC3" w:rsidRDefault="00AA6AEF" w:rsidP="00242B79">
            <w:pPr>
              <w:spacing w:before="60" w:after="60"/>
              <w:ind w:right="-20"/>
              <w:rPr>
                <w:rFonts w:asciiTheme="minorHAnsi" w:hAnsiTheme="minorHAnsi"/>
              </w:rPr>
            </w:pPr>
            <w:r>
              <w:rPr>
                <w:rFonts w:asciiTheme="minorHAnsi" w:hAnsiTheme="minorHAnsi"/>
              </w:rPr>
              <w:t>Deputy May</w:t>
            </w:r>
            <w:r w:rsidR="00FC5DC3">
              <w:rPr>
                <w:rFonts w:asciiTheme="minorHAnsi" w:hAnsiTheme="minorHAnsi"/>
              </w:rPr>
              <w:t>or Turner</w:t>
            </w:r>
          </w:p>
        </w:tc>
      </w:tr>
      <w:tr w:rsidR="00FC5DC3" w:rsidRPr="00155639" w:rsidTr="00242B79">
        <w:tc>
          <w:tcPr>
            <w:tcW w:w="1760" w:type="dxa"/>
          </w:tcPr>
          <w:p w:rsidR="00FC5DC3" w:rsidRPr="00BE0B42" w:rsidRDefault="00FC5DC3" w:rsidP="00242B79">
            <w:pPr>
              <w:spacing w:before="60" w:after="60"/>
              <w:ind w:right="-20"/>
              <w:rPr>
                <w:rFonts w:asciiTheme="minorHAnsi" w:hAnsiTheme="minorHAnsi"/>
              </w:rPr>
            </w:pPr>
            <w:r w:rsidRPr="00BE0B42">
              <w:rPr>
                <w:rFonts w:asciiTheme="minorHAnsi" w:hAnsiTheme="minorHAnsi"/>
              </w:rPr>
              <w:t>Membership</w:t>
            </w:r>
          </w:p>
        </w:tc>
        <w:tc>
          <w:tcPr>
            <w:tcW w:w="7229" w:type="dxa"/>
          </w:tcPr>
          <w:p w:rsidR="00FC5DC3" w:rsidRPr="00BE0B42" w:rsidRDefault="00FC5DC3" w:rsidP="00242B79">
            <w:pPr>
              <w:spacing w:before="60" w:after="60"/>
              <w:ind w:right="-20"/>
              <w:rPr>
                <w:rFonts w:asciiTheme="minorHAnsi" w:hAnsiTheme="minorHAnsi"/>
              </w:rPr>
            </w:pPr>
            <w:r>
              <w:rPr>
                <w:rFonts w:asciiTheme="minorHAnsi" w:hAnsiTheme="minorHAnsi"/>
              </w:rPr>
              <w:t>The Mayor and all Councillors</w:t>
            </w:r>
          </w:p>
        </w:tc>
      </w:tr>
      <w:tr w:rsidR="00FC5DC3" w:rsidRPr="00155639" w:rsidTr="00242B79">
        <w:tc>
          <w:tcPr>
            <w:tcW w:w="1760" w:type="dxa"/>
          </w:tcPr>
          <w:p w:rsidR="00FC5DC3" w:rsidRPr="00BE0B42" w:rsidRDefault="00FC5DC3" w:rsidP="00242B79">
            <w:pPr>
              <w:spacing w:before="60" w:after="60"/>
              <w:ind w:right="-20"/>
              <w:rPr>
                <w:rFonts w:asciiTheme="minorHAnsi" w:hAnsiTheme="minorHAnsi"/>
              </w:rPr>
            </w:pPr>
            <w:r w:rsidRPr="00BE0B42">
              <w:rPr>
                <w:rFonts w:asciiTheme="minorHAnsi" w:hAnsiTheme="minorHAnsi"/>
              </w:rPr>
              <w:t>Quorum</w:t>
            </w:r>
          </w:p>
        </w:tc>
        <w:tc>
          <w:tcPr>
            <w:tcW w:w="7229" w:type="dxa"/>
          </w:tcPr>
          <w:p w:rsidR="00FC5DC3" w:rsidRPr="00BE0B42" w:rsidRDefault="00FC5DC3" w:rsidP="00242B79">
            <w:pPr>
              <w:autoSpaceDE w:val="0"/>
              <w:autoSpaceDN w:val="0"/>
              <w:adjustRightInd w:val="0"/>
              <w:rPr>
                <w:rFonts w:asciiTheme="minorHAnsi" w:hAnsiTheme="minorHAnsi"/>
              </w:rPr>
            </w:pPr>
            <w:r w:rsidRPr="00BE0B42">
              <w:rPr>
                <w:rFonts w:asciiTheme="minorHAnsi" w:hAnsiTheme="minorHAnsi"/>
              </w:rPr>
              <w:t>Half of the members if the number of members (including vacancies) is even, or a majority of members if the number of members (including vacancies) is odd</w:t>
            </w:r>
          </w:p>
        </w:tc>
      </w:tr>
      <w:tr w:rsidR="00FC5DC3" w:rsidRPr="00155639" w:rsidTr="00242B79">
        <w:tc>
          <w:tcPr>
            <w:tcW w:w="1760" w:type="dxa"/>
          </w:tcPr>
          <w:p w:rsidR="00FC5DC3" w:rsidRPr="00BE0B42" w:rsidRDefault="00FC5DC3" w:rsidP="00242B79">
            <w:pPr>
              <w:autoSpaceDE w:val="0"/>
              <w:autoSpaceDN w:val="0"/>
              <w:adjustRightInd w:val="0"/>
              <w:rPr>
                <w:rFonts w:asciiTheme="minorHAnsi" w:hAnsiTheme="minorHAnsi"/>
              </w:rPr>
            </w:pPr>
            <w:r w:rsidRPr="00BE0B42">
              <w:rPr>
                <w:rFonts w:asciiTheme="minorHAnsi" w:hAnsiTheme="minorHAnsi"/>
              </w:rPr>
              <w:t>Meeting Cycle</w:t>
            </w:r>
          </w:p>
        </w:tc>
        <w:tc>
          <w:tcPr>
            <w:tcW w:w="7229" w:type="dxa"/>
          </w:tcPr>
          <w:p w:rsidR="00FC5DC3" w:rsidRPr="00BE0B42" w:rsidRDefault="00FC5DC3" w:rsidP="00242B79">
            <w:pPr>
              <w:autoSpaceDE w:val="0"/>
              <w:autoSpaceDN w:val="0"/>
              <w:adjustRightInd w:val="0"/>
              <w:rPr>
                <w:rFonts w:asciiTheme="minorHAnsi" w:hAnsiTheme="minorHAnsi"/>
              </w:rPr>
            </w:pPr>
            <w:r w:rsidRPr="00BE0B42">
              <w:rPr>
                <w:rFonts w:asciiTheme="minorHAnsi" w:hAnsiTheme="minorHAnsi"/>
              </w:rPr>
              <w:t>Monthly</w:t>
            </w:r>
          </w:p>
        </w:tc>
      </w:tr>
      <w:tr w:rsidR="00FC5DC3" w:rsidRPr="00155639" w:rsidTr="00242B79">
        <w:tc>
          <w:tcPr>
            <w:tcW w:w="1760" w:type="dxa"/>
          </w:tcPr>
          <w:p w:rsidR="00FC5DC3" w:rsidRPr="00BE0B42" w:rsidRDefault="00FC5DC3" w:rsidP="00242B79">
            <w:pPr>
              <w:autoSpaceDE w:val="0"/>
              <w:autoSpaceDN w:val="0"/>
              <w:adjustRightInd w:val="0"/>
              <w:rPr>
                <w:rFonts w:asciiTheme="minorHAnsi" w:hAnsiTheme="minorHAnsi"/>
              </w:rPr>
            </w:pPr>
            <w:r w:rsidRPr="00BE0B42">
              <w:rPr>
                <w:rFonts w:asciiTheme="minorHAnsi" w:hAnsiTheme="minorHAnsi"/>
              </w:rPr>
              <w:t>Reports To</w:t>
            </w:r>
          </w:p>
        </w:tc>
        <w:tc>
          <w:tcPr>
            <w:tcW w:w="7229" w:type="dxa"/>
          </w:tcPr>
          <w:p w:rsidR="00FC5DC3" w:rsidRPr="00BE0B42" w:rsidRDefault="00FC5DC3" w:rsidP="00242B79">
            <w:pPr>
              <w:autoSpaceDE w:val="0"/>
              <w:autoSpaceDN w:val="0"/>
              <w:adjustRightInd w:val="0"/>
              <w:rPr>
                <w:rFonts w:asciiTheme="minorHAnsi" w:hAnsiTheme="minorHAnsi"/>
              </w:rPr>
            </w:pPr>
            <w:r w:rsidRPr="00BE0B42">
              <w:rPr>
                <w:rFonts w:asciiTheme="minorHAnsi" w:hAnsiTheme="minorHAnsi"/>
              </w:rPr>
              <w:t>Council</w:t>
            </w:r>
          </w:p>
        </w:tc>
      </w:tr>
    </w:tbl>
    <w:p w:rsidR="00FC5DC3" w:rsidRDefault="00FC5DC3" w:rsidP="00FC5DC3">
      <w:pPr>
        <w:spacing w:before="29"/>
        <w:ind w:right="-20"/>
        <w:rPr>
          <w:rFonts w:asciiTheme="minorHAnsi" w:hAnsiTheme="minorHAnsi"/>
        </w:rPr>
      </w:pPr>
    </w:p>
    <w:p w:rsidR="00FC5DC3" w:rsidRPr="00D621BF" w:rsidRDefault="00FC5DC3" w:rsidP="00FC5DC3">
      <w:pPr>
        <w:autoSpaceDE w:val="0"/>
        <w:autoSpaceDN w:val="0"/>
        <w:adjustRightInd w:val="0"/>
        <w:ind w:left="142"/>
        <w:jc w:val="both"/>
        <w:rPr>
          <w:b/>
          <w:sz w:val="28"/>
          <w:szCs w:val="22"/>
        </w:rPr>
      </w:pPr>
      <w:r w:rsidRPr="00D621BF">
        <w:rPr>
          <w:b/>
          <w:sz w:val="28"/>
          <w:szCs w:val="22"/>
        </w:rPr>
        <w:t>Area of focus</w:t>
      </w:r>
    </w:p>
    <w:p w:rsidR="00FC5DC3" w:rsidRDefault="00FC5DC3" w:rsidP="00FC5DC3">
      <w:pPr>
        <w:ind w:left="142"/>
      </w:pPr>
      <w:r w:rsidRPr="00BE0B42">
        <w:t>The focus of the Finance</w:t>
      </w:r>
      <w:r>
        <w:t xml:space="preserve"> and</w:t>
      </w:r>
      <w:r w:rsidRPr="00BE0B42">
        <w:t xml:space="preserve"> Performance Committee is the financial and non-financial performance of the Council</w:t>
      </w:r>
      <w:r>
        <w:t>,</w:t>
      </w:r>
      <w:r w:rsidRPr="00DA45A1">
        <w:t xml:space="preserve"> </w:t>
      </w:r>
      <w:r>
        <w:t>including the delivery of the Council’s Capital Programme, CCHL</w:t>
      </w:r>
      <w:r w:rsidRPr="00BE0B42">
        <w:t xml:space="preserve"> and its subsidiaries</w:t>
      </w:r>
      <w:r>
        <w:t>, and any other Council Controlled Organisations</w:t>
      </w:r>
      <w:r w:rsidRPr="00BE0B42">
        <w:t>.</w:t>
      </w:r>
    </w:p>
    <w:p w:rsidR="00FC5DC3" w:rsidRDefault="00FC5DC3" w:rsidP="00FC5DC3">
      <w:pPr>
        <w:ind w:left="142"/>
        <w:rPr>
          <w:szCs w:val="22"/>
        </w:rPr>
      </w:pPr>
    </w:p>
    <w:p w:rsidR="00FC5DC3" w:rsidRPr="00C3260D" w:rsidRDefault="00FC5DC3" w:rsidP="00FC5DC3">
      <w:pPr>
        <w:ind w:left="142"/>
        <w:rPr>
          <w:szCs w:val="22"/>
        </w:rPr>
      </w:pPr>
      <w:r>
        <w:rPr>
          <w:szCs w:val="22"/>
        </w:rPr>
        <w:t>In making recommendations</w:t>
      </w:r>
      <w:r w:rsidRPr="00052915">
        <w:rPr>
          <w:szCs w:val="22"/>
        </w:rPr>
        <w:t xml:space="preserve"> </w:t>
      </w:r>
      <w:r>
        <w:rPr>
          <w:szCs w:val="22"/>
        </w:rPr>
        <w:t>or exercising its delegations, the Committee must manage the matters referred to in section 101 of the Local Government Act 2002 which includes that the Council</w:t>
      </w:r>
      <w:r w:rsidRPr="00052915">
        <w:rPr>
          <w:szCs w:val="22"/>
        </w:rPr>
        <w:t xml:space="preserve"> must manage its revenues, expenses, assets, liabilities, investments, and general financial dealings prudently and in a manner that promotes the current and future interests of the community.</w:t>
      </w:r>
    </w:p>
    <w:p w:rsidR="00FC5DC3" w:rsidRPr="00997707" w:rsidRDefault="00FC5DC3" w:rsidP="00FC5DC3">
      <w:pPr>
        <w:ind w:left="142"/>
        <w:rPr>
          <w:sz w:val="18"/>
          <w:szCs w:val="18"/>
        </w:rPr>
      </w:pPr>
    </w:p>
    <w:p w:rsidR="00FC5DC3" w:rsidRPr="00535FBD" w:rsidRDefault="00FC5DC3" w:rsidP="00FC5DC3">
      <w:pPr>
        <w:spacing w:before="120"/>
        <w:ind w:left="142"/>
        <w:rPr>
          <w:noProof/>
          <w:szCs w:val="22"/>
        </w:rPr>
      </w:pPr>
      <w:r w:rsidRPr="00BE0B42">
        <w:rPr>
          <w:noProof/>
          <w:szCs w:val="22"/>
        </w:rPr>
        <w:t xml:space="preserve">The </w:t>
      </w:r>
      <w:r w:rsidRPr="00BE0B42">
        <w:rPr>
          <w:szCs w:val="22"/>
        </w:rPr>
        <w:t>Finance</w:t>
      </w:r>
      <w:r>
        <w:rPr>
          <w:szCs w:val="22"/>
        </w:rPr>
        <w:t xml:space="preserve"> and</w:t>
      </w:r>
      <w:r w:rsidRPr="00BE0B42">
        <w:rPr>
          <w:szCs w:val="22"/>
        </w:rPr>
        <w:t xml:space="preserve"> Performance Committee</w:t>
      </w:r>
      <w:r w:rsidRPr="00BE0B42">
        <w:rPr>
          <w:noProof/>
          <w:szCs w:val="22"/>
        </w:rPr>
        <w:t xml:space="preserve"> considers and</w:t>
      </w:r>
      <w:r>
        <w:rPr>
          <w:noProof/>
          <w:szCs w:val="22"/>
        </w:rPr>
        <w:t>, if the matter is not within the Commit</w:t>
      </w:r>
      <w:r w:rsidRPr="00535FBD">
        <w:rPr>
          <w:noProof/>
          <w:szCs w:val="22"/>
        </w:rPr>
        <w:t xml:space="preserve">tee’s delegated authority, reports to Council on </w:t>
      </w:r>
      <w:r>
        <w:rPr>
          <w:noProof/>
          <w:szCs w:val="22"/>
        </w:rPr>
        <w:t xml:space="preserve">matters </w:t>
      </w:r>
      <w:r w:rsidRPr="00535FBD">
        <w:rPr>
          <w:noProof/>
          <w:szCs w:val="22"/>
        </w:rPr>
        <w:t xml:space="preserve">relating to: </w:t>
      </w:r>
    </w:p>
    <w:p w:rsidR="00FC5DC3" w:rsidRPr="00D83D43" w:rsidRDefault="00FC5DC3" w:rsidP="00FC5DC3">
      <w:pPr>
        <w:pStyle w:val="ListBullet"/>
        <w:spacing w:before="60"/>
        <w:ind w:left="993" w:hanging="426"/>
        <w:contextualSpacing w:val="0"/>
      </w:pPr>
      <w:r w:rsidRPr="00D83D43">
        <w:t>The delivery of the Council’s Capital Programme</w:t>
      </w:r>
    </w:p>
    <w:p w:rsidR="00FC5DC3" w:rsidRPr="00D83D43" w:rsidRDefault="00FC5DC3" w:rsidP="00FC5DC3">
      <w:pPr>
        <w:pStyle w:val="ListBullet"/>
        <w:spacing w:before="60"/>
        <w:ind w:left="993" w:hanging="426"/>
        <w:contextualSpacing w:val="0"/>
      </w:pPr>
      <w:r w:rsidRPr="00D83D43">
        <w:t>The Council’s operational and capital expenditure, including any material discrepancies from planned expenditure</w:t>
      </w:r>
    </w:p>
    <w:p w:rsidR="00FC5DC3" w:rsidRPr="00D83D43" w:rsidRDefault="00FC5DC3" w:rsidP="00FC5DC3">
      <w:pPr>
        <w:pStyle w:val="ListBullet"/>
        <w:spacing w:before="60"/>
        <w:ind w:left="993" w:hanging="426"/>
        <w:contextualSpacing w:val="0"/>
      </w:pPr>
      <w:bookmarkStart w:id="1" w:name="_Ref527287359"/>
      <w:r w:rsidRPr="00AA5498">
        <w:t>Leading and overseeing the Council’s strategic relationship with the Crown</w:t>
      </w:r>
      <w:r>
        <w:t>, including</w:t>
      </w:r>
      <w:bookmarkEnd w:id="1"/>
      <w:r>
        <w:t xml:space="preserve"> s</w:t>
      </w:r>
      <w:r w:rsidRPr="00D83D43">
        <w:t>pecific strategic projects of shared interest and interface with the Crown, including the Cost Share Agreement and matters under the Greater Christchurch Regeneration Act 2016</w:t>
      </w:r>
    </w:p>
    <w:p w:rsidR="00FC5DC3" w:rsidRPr="00D83D43" w:rsidRDefault="00FC5DC3" w:rsidP="00FC5DC3">
      <w:pPr>
        <w:pStyle w:val="ListBullet"/>
        <w:spacing w:before="60"/>
        <w:ind w:left="993" w:hanging="426"/>
        <w:contextualSpacing w:val="0"/>
      </w:pPr>
      <w:r w:rsidRPr="00D83D43">
        <w:t>The financial and non-financial performance of the Council and Council Controlled Organisations, and governance decisions related to Council Controlled Organisations</w:t>
      </w:r>
    </w:p>
    <w:p w:rsidR="00FC5DC3" w:rsidRPr="00D83D43" w:rsidRDefault="00FC5DC3" w:rsidP="00FC5DC3">
      <w:pPr>
        <w:pStyle w:val="ListBullet"/>
        <w:spacing w:before="60"/>
        <w:ind w:left="993" w:hanging="426"/>
        <w:contextualSpacing w:val="0"/>
      </w:pPr>
      <w:r w:rsidRPr="00D83D43">
        <w:t>The Council’s financial and funding policies under section 102 of the Local Government Act 2002</w:t>
      </w:r>
    </w:p>
    <w:p w:rsidR="00FC5DC3" w:rsidRPr="00D83D43" w:rsidRDefault="00FC5DC3" w:rsidP="00FC5DC3">
      <w:pPr>
        <w:pStyle w:val="ListBullet"/>
        <w:spacing w:before="60"/>
        <w:ind w:left="993" w:hanging="426"/>
        <w:contextualSpacing w:val="0"/>
      </w:pPr>
      <w:r w:rsidRPr="00D83D43">
        <w:t>Debt write-offs and status of Council debtors</w:t>
      </w:r>
    </w:p>
    <w:p w:rsidR="00FC5DC3" w:rsidRPr="00D83D43" w:rsidRDefault="00FC5DC3" w:rsidP="00FC5DC3">
      <w:pPr>
        <w:pStyle w:val="ListBullet"/>
        <w:spacing w:before="60"/>
        <w:ind w:left="993" w:hanging="426"/>
        <w:contextualSpacing w:val="0"/>
      </w:pPr>
      <w:r w:rsidRPr="00D83D43">
        <w:t xml:space="preserve">Acquisition or disposal of property where required for the delivery of the Capital Programme </w:t>
      </w:r>
    </w:p>
    <w:p w:rsidR="00FC5DC3" w:rsidRPr="00D83D43" w:rsidRDefault="00FC5DC3" w:rsidP="00FC5DC3">
      <w:pPr>
        <w:pStyle w:val="ListBullet"/>
        <w:spacing w:before="60"/>
        <w:ind w:left="993" w:hanging="426"/>
        <w:contextualSpacing w:val="0"/>
      </w:pPr>
      <w:r w:rsidRPr="00D83D43">
        <w:t>Council insurance policies and related matters and litigation</w:t>
      </w:r>
    </w:p>
    <w:p w:rsidR="00FC5DC3" w:rsidRDefault="00FC5DC3" w:rsidP="00FC5DC3">
      <w:pPr>
        <w:pStyle w:val="ListBullet"/>
        <w:spacing w:before="60"/>
        <w:ind w:left="993" w:hanging="426"/>
        <w:contextualSpacing w:val="0"/>
      </w:pPr>
      <w:r w:rsidRPr="00D83D43">
        <w:t>The development of the Annual Report for consideration by Council</w:t>
      </w:r>
    </w:p>
    <w:p w:rsidR="00FC5DC3" w:rsidRDefault="00FC5DC3" w:rsidP="00FC5DC3">
      <w:pPr>
        <w:pStyle w:val="ListBullet"/>
        <w:spacing w:before="60"/>
        <w:ind w:left="993" w:hanging="426"/>
        <w:contextualSpacing w:val="0"/>
      </w:pPr>
      <w:r w:rsidRPr="00AA5498">
        <w:t xml:space="preserve">Advising and supporting the Mayor to lead the development of the Long Term Plan and Annual Plan, including setting the overall parameters, strategic direction and priorities, and the development of a consultation document. </w:t>
      </w:r>
    </w:p>
    <w:p w:rsidR="00FC5DC3" w:rsidRPr="00D83D43" w:rsidRDefault="00FC5DC3" w:rsidP="00FC5DC3">
      <w:pPr>
        <w:pStyle w:val="ListBullet"/>
        <w:spacing w:before="60"/>
        <w:ind w:left="993" w:hanging="426"/>
        <w:contextualSpacing w:val="0"/>
      </w:pPr>
      <w:r>
        <w:t>Reviewing the delivery of services under s17A</w:t>
      </w:r>
    </w:p>
    <w:p w:rsidR="00FC5DC3" w:rsidRPr="00D83D43" w:rsidRDefault="00FC5DC3" w:rsidP="00353377">
      <w:pPr>
        <w:pStyle w:val="ListBullet"/>
        <w:spacing w:before="60"/>
        <w:ind w:left="993" w:hanging="426"/>
        <w:contextualSpacing w:val="0"/>
      </w:pPr>
      <w:r w:rsidRPr="00D83D43">
        <w:t xml:space="preserve">Submissions to external bodies relating to the area of focus of the Finance and Performance Committee </w:t>
      </w:r>
    </w:p>
    <w:p w:rsidR="00FC5DC3" w:rsidRDefault="00FC5DC3" w:rsidP="00FC5DC3">
      <w:pPr>
        <w:autoSpaceDE w:val="0"/>
        <w:autoSpaceDN w:val="0"/>
        <w:adjustRightInd w:val="0"/>
        <w:ind w:left="567" w:hanging="347"/>
        <w:jc w:val="both"/>
        <w:rPr>
          <w:b/>
          <w:szCs w:val="22"/>
        </w:rPr>
      </w:pPr>
    </w:p>
    <w:p w:rsidR="00FC5DC3" w:rsidRDefault="00FC5DC3" w:rsidP="00FC5DC3">
      <w:pPr>
        <w:autoSpaceDE w:val="0"/>
        <w:autoSpaceDN w:val="0"/>
        <w:adjustRightInd w:val="0"/>
        <w:ind w:left="567" w:hanging="347"/>
        <w:jc w:val="both"/>
        <w:rPr>
          <w:b/>
          <w:szCs w:val="22"/>
        </w:rPr>
      </w:pPr>
    </w:p>
    <w:p w:rsidR="00FC5DC3" w:rsidRDefault="00FC5DC3" w:rsidP="00FC5DC3">
      <w:pPr>
        <w:autoSpaceDE w:val="0"/>
        <w:autoSpaceDN w:val="0"/>
        <w:adjustRightInd w:val="0"/>
        <w:ind w:left="567" w:hanging="347"/>
        <w:jc w:val="both"/>
        <w:rPr>
          <w:b/>
          <w:sz w:val="28"/>
          <w:szCs w:val="22"/>
        </w:rPr>
      </w:pPr>
      <w:r w:rsidRPr="00D621BF">
        <w:rPr>
          <w:b/>
          <w:sz w:val="28"/>
          <w:szCs w:val="22"/>
        </w:rPr>
        <w:t>Delegations</w:t>
      </w:r>
    </w:p>
    <w:p w:rsidR="00FC5DC3" w:rsidRPr="00D621BF" w:rsidRDefault="00FC5DC3" w:rsidP="00FC5DC3">
      <w:pPr>
        <w:autoSpaceDE w:val="0"/>
        <w:autoSpaceDN w:val="0"/>
        <w:adjustRightInd w:val="0"/>
        <w:ind w:left="567" w:hanging="347"/>
        <w:jc w:val="both"/>
        <w:rPr>
          <w:b/>
          <w:sz w:val="28"/>
          <w:szCs w:val="22"/>
        </w:rPr>
      </w:pPr>
    </w:p>
    <w:p w:rsidR="00FC5DC3" w:rsidRDefault="00FC5DC3" w:rsidP="00FC5DC3">
      <w:pPr>
        <w:autoSpaceDE w:val="0"/>
        <w:autoSpaceDN w:val="0"/>
        <w:adjustRightInd w:val="0"/>
        <w:ind w:left="221"/>
        <w:jc w:val="both"/>
        <w:rPr>
          <w:szCs w:val="22"/>
        </w:rPr>
      </w:pPr>
      <w:r w:rsidRPr="00D760BE">
        <w:rPr>
          <w:szCs w:val="22"/>
        </w:rPr>
        <w:t xml:space="preserve">The Council delegates to the </w:t>
      </w:r>
      <w:r w:rsidRPr="00BE0B42">
        <w:rPr>
          <w:szCs w:val="22"/>
        </w:rPr>
        <w:t>Finance</w:t>
      </w:r>
      <w:r>
        <w:rPr>
          <w:szCs w:val="22"/>
        </w:rPr>
        <w:t xml:space="preserve"> and</w:t>
      </w:r>
      <w:r w:rsidRPr="00BE0B42">
        <w:rPr>
          <w:szCs w:val="22"/>
        </w:rPr>
        <w:t xml:space="preserve"> Performance Committee</w:t>
      </w:r>
      <w:r>
        <w:rPr>
          <w:szCs w:val="22"/>
        </w:rPr>
        <w:t xml:space="preserve"> authority to:</w:t>
      </w:r>
    </w:p>
    <w:p w:rsidR="00FC5DC3" w:rsidRPr="00D83D43" w:rsidRDefault="00FC5DC3" w:rsidP="00FC5DC3">
      <w:pPr>
        <w:pStyle w:val="ListBullet"/>
        <w:spacing w:before="60"/>
        <w:ind w:left="993" w:hanging="426"/>
        <w:contextualSpacing w:val="0"/>
      </w:pPr>
      <w:r>
        <w:t xml:space="preserve">Monitor the delivery of the Council’s Capital Programme, including inquiring into any material </w:t>
      </w:r>
      <w:r w:rsidRPr="00D83D43">
        <w:t>discrepancies from planned expenditure</w:t>
      </w:r>
    </w:p>
    <w:p w:rsidR="00FC5DC3" w:rsidRPr="00D83D43" w:rsidRDefault="00FC5DC3" w:rsidP="00FC5DC3">
      <w:pPr>
        <w:pStyle w:val="ListBullet"/>
        <w:spacing w:before="60"/>
        <w:ind w:left="993" w:hanging="426"/>
        <w:contextualSpacing w:val="0"/>
      </w:pPr>
      <w:r w:rsidRPr="00D83D43">
        <w:t>Monitor the financial and non-financial performance of the Council and Council Controlled Organisations, including carrying out all of the Council’s obligations under sections 65 to 7</w:t>
      </w:r>
      <w:r>
        <w:t>2</w:t>
      </w:r>
      <w:r w:rsidRPr="00D83D43">
        <w:t xml:space="preserve"> of the Local Government Act 2002</w:t>
      </w:r>
    </w:p>
    <w:p w:rsidR="00FC5DC3" w:rsidRDefault="00FC5DC3" w:rsidP="00FC5DC3">
      <w:pPr>
        <w:pStyle w:val="ListBullet"/>
        <w:spacing w:before="60"/>
        <w:ind w:left="993" w:hanging="426"/>
        <w:contextualSpacing w:val="0"/>
      </w:pPr>
      <w:r>
        <w:t xml:space="preserve">Exercise the Council’s powers directly as the shareholder, or through CCHL, or in respect of an entity (within the meaning of section 6(1) of the Local Government Act 2002) in relation to – </w:t>
      </w:r>
    </w:p>
    <w:p w:rsidR="00FC5DC3" w:rsidRDefault="00FC5DC3" w:rsidP="00FC5DC3">
      <w:pPr>
        <w:pStyle w:val="ListBullet"/>
        <w:numPr>
          <w:ilvl w:val="0"/>
          <w:numId w:val="6"/>
        </w:numPr>
        <w:spacing w:before="60"/>
        <w:contextualSpacing w:val="0"/>
      </w:pPr>
      <w:r>
        <w:t>(without limitation) the modification of constitutions and/or trust deeds, and other governance arrangements, granting shareholder approval of major transactions, appointing directors or trustees, and approving policies related to Council Controlled Organisations</w:t>
      </w:r>
    </w:p>
    <w:p w:rsidR="00FC5DC3" w:rsidRPr="00675C83" w:rsidRDefault="00FC5DC3" w:rsidP="00FC5DC3">
      <w:pPr>
        <w:pStyle w:val="ListBullet"/>
        <w:numPr>
          <w:ilvl w:val="0"/>
          <w:numId w:val="6"/>
        </w:numPr>
        <w:spacing w:before="60"/>
        <w:contextualSpacing w:val="0"/>
      </w:pPr>
      <w:r>
        <w:t xml:space="preserve">in relation to the approval of Statements of Intent and their modification (if any) </w:t>
      </w:r>
    </w:p>
    <w:p w:rsidR="00FC5DC3" w:rsidRPr="00675C83" w:rsidRDefault="00FC5DC3" w:rsidP="00FC5DC3">
      <w:pPr>
        <w:pStyle w:val="ListBullet"/>
        <w:spacing w:before="60"/>
        <w:ind w:left="993" w:hanging="426"/>
        <w:contextualSpacing w:val="0"/>
      </w:pPr>
      <w:r>
        <w:t>Purchase or dispose of property where required for the delivery of the Capital Programme, in accordance with the Council’s Long Term Plan, and where those acquisitions or disposals have not been delegated to another decision-making body of the Council or staff.</w:t>
      </w:r>
    </w:p>
    <w:p w:rsidR="00FC5DC3" w:rsidRPr="00675C83" w:rsidRDefault="00FC5DC3" w:rsidP="00FC5DC3">
      <w:pPr>
        <w:pStyle w:val="ListBullet"/>
        <w:spacing w:before="60"/>
        <w:ind w:left="993" w:hanging="426"/>
        <w:contextualSpacing w:val="0"/>
      </w:pPr>
      <w:r>
        <w:t>Adopt funding and financial policies other than those that must be adopted as part of the Council’s Long-Term or Annual Plans</w:t>
      </w:r>
    </w:p>
    <w:p w:rsidR="00FC5DC3" w:rsidRDefault="00FC5DC3" w:rsidP="009C43F8">
      <w:pPr>
        <w:pStyle w:val="ListBullet"/>
        <w:spacing w:before="60"/>
        <w:ind w:left="993" w:hanging="426"/>
        <w:contextualSpacing w:val="0"/>
      </w:pPr>
      <w:r>
        <w:t xml:space="preserve">As may be necessary from time to time, approve amendments to the Capital Programme outside the Long Term Plan or Annual Plan processes </w:t>
      </w:r>
    </w:p>
    <w:p w:rsidR="00FC5DC3" w:rsidRDefault="00FC5DC3" w:rsidP="00FC5DC3">
      <w:pPr>
        <w:pStyle w:val="ListBullet"/>
        <w:spacing w:before="60"/>
        <w:ind w:left="993" w:hanging="426"/>
        <w:contextualSpacing w:val="0"/>
      </w:pPr>
      <w:r>
        <w:t>Amend levels of service targets, unless the decision is precluded under section 97 of the Local Government Act 2002</w:t>
      </w:r>
    </w:p>
    <w:p w:rsidR="00FC5DC3" w:rsidRDefault="00FC5DC3" w:rsidP="00FC5DC3">
      <w:pPr>
        <w:pStyle w:val="ListBullet"/>
        <w:spacing w:before="60"/>
        <w:ind w:left="993" w:hanging="426"/>
        <w:contextualSpacing w:val="0"/>
      </w:pPr>
      <w:r>
        <w:t>Approve debt write-offs where those debt write-offs are not delegated to staff</w:t>
      </w:r>
    </w:p>
    <w:p w:rsidR="00FC5DC3" w:rsidRDefault="00FC5DC3" w:rsidP="00FC5DC3">
      <w:pPr>
        <w:pStyle w:val="ListBullet"/>
        <w:spacing w:before="60"/>
        <w:ind w:left="993" w:hanging="426"/>
        <w:contextualSpacing w:val="0"/>
      </w:pPr>
      <w:r>
        <w:t>Insurance matters, including considering legal advice from the Council’s legal and other advisers, approving further actions relating to the issues, and authorising the taking of formal actions.</w:t>
      </w:r>
    </w:p>
    <w:p w:rsidR="009C43F8" w:rsidRDefault="00FC5DC3" w:rsidP="009C43F8">
      <w:pPr>
        <w:pStyle w:val="ListBullet"/>
        <w:spacing w:before="60"/>
        <w:ind w:left="993" w:hanging="426"/>
        <w:contextualSpacing w:val="0"/>
      </w:pPr>
      <w:r w:rsidRPr="00D83D43">
        <w:t>Authorise submissions to external bodies relating to the area of focus of the Finance and Performance Committee</w:t>
      </w:r>
    </w:p>
    <w:p w:rsidR="009C43F8" w:rsidRDefault="009C43F8" w:rsidP="009C43F8">
      <w:pPr>
        <w:pStyle w:val="ListBullet"/>
        <w:numPr>
          <w:ilvl w:val="0"/>
          <w:numId w:val="0"/>
        </w:numPr>
        <w:spacing w:before="60"/>
        <w:ind w:left="993"/>
        <w:contextualSpacing w:val="0"/>
      </w:pPr>
    </w:p>
    <w:p w:rsidR="00353377" w:rsidRPr="006D6BA7" w:rsidRDefault="00353377" w:rsidP="006D6BA7">
      <w:pPr>
        <w:spacing w:after="160" w:line="259" w:lineRule="auto"/>
        <w:rPr>
          <w:u w:val="single"/>
        </w:rPr>
      </w:pPr>
      <w:r>
        <w:t>At the Council meeting on 1</w:t>
      </w:r>
      <w:r w:rsidR="009C43F8">
        <w:t>1</w:t>
      </w:r>
      <w:r>
        <w:t xml:space="preserve"> April 2019:</w:t>
      </w:r>
      <w:r w:rsidR="006D6BA7">
        <w:br/>
      </w:r>
      <w:r>
        <w:t xml:space="preserve">It was </w:t>
      </w:r>
      <w:r>
        <w:rPr>
          <w:b/>
        </w:rPr>
        <w:t>resolved</w:t>
      </w:r>
      <w:r>
        <w:t xml:space="preserve"> that the Council:</w:t>
      </w:r>
    </w:p>
    <w:p w:rsidR="00353377" w:rsidRDefault="00353377" w:rsidP="00353377">
      <w:pPr>
        <w:pStyle w:val="ListBullet"/>
        <w:numPr>
          <w:ilvl w:val="0"/>
          <w:numId w:val="0"/>
        </w:numPr>
        <w:spacing w:before="60"/>
        <w:ind w:left="720" w:hanging="720"/>
        <w:contextualSpacing w:val="0"/>
        <w:rPr>
          <w:color w:val="000000" w:themeColor="text1"/>
          <w:lang w:val="en-GB"/>
        </w:rPr>
      </w:pPr>
      <w:r>
        <w:t>2.</w:t>
      </w:r>
      <w:r>
        <w:tab/>
      </w:r>
      <w:r w:rsidRPr="00066CE5">
        <w:rPr>
          <w:color w:val="000000" w:themeColor="text1"/>
          <w:lang w:val="en-GB"/>
        </w:rPr>
        <w:t xml:space="preserve">Agree that the delegations to the Finance and Performance Committee of the Whole be kept under review to reflect that it is now a committee of the whole, and make the following changes: </w:t>
      </w:r>
    </w:p>
    <w:p w:rsidR="00353377" w:rsidRDefault="009C43F8" w:rsidP="00353377">
      <w:pPr>
        <w:pStyle w:val="ListBullet"/>
        <w:numPr>
          <w:ilvl w:val="0"/>
          <w:numId w:val="0"/>
        </w:numPr>
        <w:spacing w:before="60"/>
        <w:ind w:left="720" w:hanging="720"/>
        <w:contextualSpacing w:val="0"/>
      </w:pPr>
      <w:r>
        <w:rPr>
          <w:u w:val="single"/>
        </w:rPr>
        <w:t>Section 17A Service Delivery Reviews</w:t>
      </w:r>
    </w:p>
    <w:p w:rsidR="00353377" w:rsidRDefault="00353377" w:rsidP="00353377">
      <w:pPr>
        <w:tabs>
          <w:tab w:val="left" w:pos="1559"/>
        </w:tabs>
        <w:spacing w:after="120"/>
        <w:ind w:left="1558" w:hanging="567"/>
        <w:rPr>
          <w:color w:val="000000" w:themeColor="text1"/>
          <w:lang w:val="en-GB"/>
        </w:rPr>
      </w:pPr>
      <w:r>
        <w:rPr>
          <w:color w:val="000000" w:themeColor="text1"/>
          <w:lang w:val="en-GB"/>
        </w:rPr>
        <w:t>a.</w:t>
      </w:r>
      <w:r>
        <w:rPr>
          <w:color w:val="000000" w:themeColor="text1"/>
          <w:lang w:val="en-GB"/>
        </w:rPr>
        <w:tab/>
      </w:r>
      <w:r w:rsidRPr="00066CE5">
        <w:rPr>
          <w:color w:val="000000" w:themeColor="text1"/>
          <w:lang w:val="en-GB"/>
        </w:rPr>
        <w:t>Delegates to the Finance and Performance Committee of the Whole authority to exercise all of the Council's powers under section 17A of the Local Government Act 2002, relating to service delivery reviews and decisions not to undertake a review.</w:t>
      </w:r>
    </w:p>
    <w:p w:rsidR="009C43F8" w:rsidRPr="009C43F8" w:rsidRDefault="009C43F8" w:rsidP="009C43F8">
      <w:pPr>
        <w:tabs>
          <w:tab w:val="left" w:pos="1559"/>
        </w:tabs>
        <w:spacing w:after="120"/>
        <w:rPr>
          <w:color w:val="000000" w:themeColor="text1"/>
          <w:u w:val="single"/>
          <w:lang w:val="en-GB"/>
        </w:rPr>
      </w:pPr>
      <w:r>
        <w:rPr>
          <w:color w:val="000000" w:themeColor="text1"/>
          <w:u w:val="single"/>
          <w:lang w:val="en-GB"/>
        </w:rPr>
        <w:t>Development Contributions</w:t>
      </w:r>
    </w:p>
    <w:p w:rsidR="00353377" w:rsidRPr="00066CE5" w:rsidRDefault="00353377" w:rsidP="00353377">
      <w:pPr>
        <w:tabs>
          <w:tab w:val="left" w:pos="1559"/>
        </w:tabs>
        <w:spacing w:after="120"/>
        <w:ind w:left="1558" w:hanging="567"/>
        <w:rPr>
          <w:color w:val="000000" w:themeColor="text1"/>
          <w:lang w:val="en-GB"/>
        </w:rPr>
      </w:pPr>
      <w:r w:rsidRPr="00066CE5">
        <w:rPr>
          <w:color w:val="000000" w:themeColor="text1"/>
          <w:lang w:val="en-GB"/>
        </w:rPr>
        <w:t>b.</w:t>
      </w:r>
      <w:r w:rsidRPr="00066CE5">
        <w:rPr>
          <w:color w:val="000000" w:themeColor="text1"/>
          <w:lang w:val="en-GB"/>
        </w:rPr>
        <w:tab/>
        <w:t>Delegates to the Finance and Performance Committee of the Whole authority</w:t>
      </w:r>
      <w:r w:rsidRPr="00066CE5">
        <w:rPr>
          <w:color w:val="000000" w:themeColor="text1"/>
          <w:u w:val="single"/>
          <w:lang w:val="en-GB"/>
        </w:rPr>
        <w:t xml:space="preserve"> </w:t>
      </w:r>
      <w:r w:rsidRPr="00066CE5">
        <w:rPr>
          <w:color w:val="000000" w:themeColor="text1"/>
          <w:lang w:val="en-GB"/>
        </w:rPr>
        <w:t xml:space="preserve">to exercise all of the Council's powers in relation to development contributions, other </w:t>
      </w:r>
      <w:r w:rsidRPr="00066CE5">
        <w:rPr>
          <w:color w:val="000000" w:themeColor="text1"/>
          <w:lang w:val="en-GB"/>
        </w:rPr>
        <w:lastRenderedPageBreak/>
        <w:t>than those delegated to the Chief Executive and Council officers as set out in the Council's Delegations Register.</w:t>
      </w:r>
    </w:p>
    <w:p w:rsidR="00353377" w:rsidRPr="00066CE5" w:rsidRDefault="00353377" w:rsidP="00353377">
      <w:pPr>
        <w:tabs>
          <w:tab w:val="left" w:pos="2126"/>
        </w:tabs>
        <w:spacing w:after="120"/>
        <w:ind w:left="2125" w:hanging="567"/>
        <w:rPr>
          <w:color w:val="000000" w:themeColor="text1"/>
          <w:lang w:val="en-GB"/>
        </w:rPr>
      </w:pPr>
      <w:r w:rsidRPr="00066CE5">
        <w:rPr>
          <w:color w:val="000000" w:themeColor="text1"/>
          <w:lang w:val="en-GB"/>
        </w:rPr>
        <w:t>i.</w:t>
      </w:r>
      <w:r w:rsidRPr="00066CE5">
        <w:rPr>
          <w:color w:val="000000" w:themeColor="text1"/>
          <w:lang w:val="en-GB"/>
        </w:rPr>
        <w:tab/>
        <w:t>Any single development contribution rebate in excess of $1,000,000</w:t>
      </w:r>
    </w:p>
    <w:p w:rsidR="00353377" w:rsidRPr="00066CE5" w:rsidRDefault="00353377" w:rsidP="00353377">
      <w:pPr>
        <w:tabs>
          <w:tab w:val="left" w:pos="2126"/>
        </w:tabs>
        <w:spacing w:after="120"/>
        <w:ind w:left="2125" w:hanging="567"/>
        <w:rPr>
          <w:color w:val="000000" w:themeColor="text1"/>
          <w:lang w:val="en-GB"/>
        </w:rPr>
      </w:pPr>
      <w:r w:rsidRPr="00066CE5">
        <w:rPr>
          <w:color w:val="000000" w:themeColor="text1"/>
          <w:lang w:val="en-GB"/>
        </w:rPr>
        <w:t>ii.</w:t>
      </w:r>
      <w:r w:rsidRPr="00066CE5">
        <w:rPr>
          <w:color w:val="000000" w:themeColor="text1"/>
          <w:lang w:val="en-GB"/>
        </w:rPr>
        <w:tab/>
        <w:t>Any application for a remission of development contribution charges as provided for in the Council's Development Contributions Policy in effect at the time</w:t>
      </w:r>
    </w:p>
    <w:p w:rsidR="00353377" w:rsidRPr="00066CE5" w:rsidRDefault="00353377" w:rsidP="00353377">
      <w:pPr>
        <w:tabs>
          <w:tab w:val="left" w:pos="2126"/>
        </w:tabs>
        <w:spacing w:after="120"/>
        <w:ind w:left="2125" w:hanging="567"/>
        <w:rPr>
          <w:color w:val="000000" w:themeColor="text1"/>
          <w:lang w:val="en-GB"/>
        </w:rPr>
      </w:pPr>
      <w:r w:rsidRPr="00066CE5">
        <w:rPr>
          <w:color w:val="000000" w:themeColor="text1"/>
          <w:lang w:val="en-GB"/>
        </w:rPr>
        <w:t>iii.</w:t>
      </w:r>
      <w:r w:rsidRPr="00066CE5">
        <w:rPr>
          <w:color w:val="000000" w:themeColor="text1"/>
          <w:lang w:val="en-GB"/>
        </w:rPr>
        <w:tab/>
        <w:t>Any increase in development contributions charges as provided for under section 106 (2A - C) of the Local Government Act 2002</w:t>
      </w:r>
    </w:p>
    <w:p w:rsidR="00353377" w:rsidRPr="00353377" w:rsidRDefault="00353377" w:rsidP="00353377">
      <w:pPr>
        <w:tabs>
          <w:tab w:val="left" w:pos="2126"/>
        </w:tabs>
        <w:spacing w:after="120"/>
        <w:ind w:left="2125" w:hanging="567"/>
        <w:rPr>
          <w:color w:val="000000" w:themeColor="text1"/>
        </w:rPr>
      </w:pPr>
      <w:r w:rsidRPr="00066CE5">
        <w:rPr>
          <w:color w:val="000000" w:themeColor="text1"/>
          <w:lang w:val="en-GB"/>
        </w:rPr>
        <w:t>iv.</w:t>
      </w:r>
      <w:r w:rsidRPr="00066CE5">
        <w:rPr>
          <w:color w:val="000000" w:themeColor="text1"/>
          <w:lang w:val="en-GB"/>
        </w:rPr>
        <w:tab/>
        <w:t>Any change to the schedule of assets for which development contributions are charged as provided for under section 201A(5) of the Local Government Act 2002.</w:t>
      </w:r>
      <w:r w:rsidRPr="00066CE5">
        <w:rPr>
          <w:color w:val="000000" w:themeColor="text1"/>
        </w:rPr>
        <w:t xml:space="preserve"> </w:t>
      </w:r>
    </w:p>
    <w:p w:rsidR="00FC5DC3" w:rsidRDefault="00FC5DC3" w:rsidP="00FC5DC3">
      <w:pPr>
        <w:ind w:left="142"/>
        <w:rPr>
          <w:szCs w:val="22"/>
        </w:rPr>
      </w:pPr>
    </w:p>
    <w:p w:rsidR="009C43F8" w:rsidRPr="006D6BA7" w:rsidRDefault="009C43F8" w:rsidP="006D6BA7">
      <w:pPr>
        <w:spacing w:after="160" w:line="259" w:lineRule="auto"/>
        <w:rPr>
          <w:u w:val="single"/>
        </w:rPr>
      </w:pPr>
      <w:r>
        <w:t>At the Council meeting on 23 May 2019:</w:t>
      </w:r>
      <w:r w:rsidR="006D6BA7">
        <w:br/>
      </w:r>
      <w:r>
        <w:t xml:space="preserve">It was </w:t>
      </w:r>
      <w:r>
        <w:rPr>
          <w:b/>
        </w:rPr>
        <w:t>resolved</w:t>
      </w:r>
      <w:r>
        <w:t xml:space="preserve"> that the Council:</w:t>
      </w:r>
    </w:p>
    <w:p w:rsidR="009C43F8" w:rsidRPr="00E64280" w:rsidRDefault="009C43F8" w:rsidP="009C43F8">
      <w:pPr>
        <w:tabs>
          <w:tab w:val="left" w:pos="992"/>
        </w:tabs>
        <w:spacing w:after="120"/>
        <w:ind w:left="991" w:hanging="567"/>
        <w:rPr>
          <w:lang w:val="en-GB"/>
        </w:rPr>
      </w:pPr>
      <w:r>
        <w:rPr>
          <w:lang w:val="en-GB"/>
        </w:rPr>
        <w:t>1.</w:t>
      </w:r>
      <w:r>
        <w:rPr>
          <w:lang w:val="en-GB"/>
        </w:rPr>
        <w:tab/>
      </w:r>
      <w:r w:rsidRPr="00E64280">
        <w:rPr>
          <w:lang w:val="en-GB"/>
        </w:rPr>
        <w:t>Revokes the following delegations to the Finance and Performance Committee of the Whole:</w:t>
      </w:r>
    </w:p>
    <w:p w:rsidR="009C43F8" w:rsidRPr="00E64280" w:rsidRDefault="009C43F8" w:rsidP="009C43F8">
      <w:pPr>
        <w:spacing w:after="120"/>
        <w:ind w:left="1560" w:hanging="568"/>
      </w:pPr>
      <w:r w:rsidRPr="00E64280">
        <w:rPr>
          <w:rFonts w:ascii="Symbol" w:hAnsi="Symbol"/>
        </w:rPr>
        <w:t></w:t>
      </w:r>
      <w:r w:rsidRPr="00E64280">
        <w:rPr>
          <w:rFonts w:ascii="Symbol" w:hAnsi="Symbol"/>
        </w:rPr>
        <w:tab/>
      </w:r>
      <w:r w:rsidRPr="00E64280">
        <w:rPr>
          <w:lang w:val="en-GB"/>
        </w:rPr>
        <w:t>Approve preferred suppliers for capital projects where the value of the contract exceeds $15 Million.</w:t>
      </w:r>
    </w:p>
    <w:p w:rsidR="009C43F8" w:rsidRPr="00E64280" w:rsidRDefault="009C43F8" w:rsidP="009C43F8">
      <w:pPr>
        <w:spacing w:after="120"/>
        <w:ind w:left="1560" w:hanging="568"/>
        <w:rPr>
          <w:i/>
          <w:lang w:val="en-GB"/>
        </w:rPr>
      </w:pPr>
      <w:r w:rsidRPr="00E64280">
        <w:rPr>
          <w:rFonts w:ascii="Symbol" w:hAnsi="Symbol"/>
          <w:lang w:val="en-GB"/>
        </w:rPr>
        <w:t></w:t>
      </w:r>
      <w:r w:rsidRPr="00E64280">
        <w:rPr>
          <w:rFonts w:ascii="Symbol" w:hAnsi="Symbol"/>
          <w:lang w:val="en-GB"/>
        </w:rPr>
        <w:tab/>
      </w:r>
      <w:r w:rsidRPr="00E64280">
        <w:rPr>
          <w:lang w:val="en-GB"/>
        </w:rPr>
        <w:t>Approve preferred suppliers and contracts from both capital and operational budgets relating to the Council’s Information Technology systems where the value of the contract exceeds $15 Million of capital expenditure or $10 Million of operational expenditure.</w:t>
      </w:r>
    </w:p>
    <w:p w:rsidR="009C43F8" w:rsidRDefault="009C43F8" w:rsidP="009C43F8">
      <w:pPr>
        <w:tabs>
          <w:tab w:val="left" w:pos="992"/>
        </w:tabs>
        <w:spacing w:after="120"/>
        <w:ind w:left="991" w:hanging="567"/>
        <w:rPr>
          <w:lang w:val="en-GB"/>
        </w:rPr>
      </w:pPr>
      <w:r w:rsidRPr="00E64280">
        <w:rPr>
          <w:lang w:val="en-GB"/>
        </w:rPr>
        <w:t>2.</w:t>
      </w:r>
      <w:r w:rsidRPr="00E64280">
        <w:rPr>
          <w:lang w:val="en-GB"/>
        </w:rPr>
        <w:tab/>
        <w:t xml:space="preserve">Delegates to the Finance and Performance Committee of the Whole the following: </w:t>
      </w:r>
    </w:p>
    <w:p w:rsidR="009C43F8" w:rsidRPr="009C43F8" w:rsidRDefault="009C43F8" w:rsidP="009C43F8">
      <w:pPr>
        <w:tabs>
          <w:tab w:val="left" w:pos="992"/>
        </w:tabs>
        <w:spacing w:after="120"/>
        <w:rPr>
          <w:u w:val="single"/>
          <w:lang w:val="en-GB"/>
        </w:rPr>
      </w:pPr>
      <w:r>
        <w:rPr>
          <w:u w:val="single"/>
          <w:lang w:val="en-GB"/>
        </w:rPr>
        <w:t>Capital Expenditure</w:t>
      </w:r>
    </w:p>
    <w:p w:rsidR="009C43F8" w:rsidRDefault="009C43F8" w:rsidP="009C43F8">
      <w:pPr>
        <w:tabs>
          <w:tab w:val="left" w:pos="1559"/>
        </w:tabs>
        <w:spacing w:after="120"/>
        <w:ind w:left="1558" w:hanging="567"/>
        <w:rPr>
          <w:lang w:val="en-GB"/>
        </w:rPr>
      </w:pPr>
      <w:r w:rsidRPr="00E64280">
        <w:rPr>
          <w:lang w:val="en-GB"/>
        </w:rPr>
        <w:t>a.</w:t>
      </w:r>
      <w:r w:rsidRPr="00E64280">
        <w:rPr>
          <w:lang w:val="en-GB"/>
        </w:rPr>
        <w:tab/>
        <w:t>Approve the procurement plans (where applicable), preferred supplier, and contracts for all capital expenditure where the value of the contract exceeds $15 Million (noting that the Committee may sub delegate authority for approval of the preferred supplier and /or contract to the Chief Executive provided the procurement plan strategy is followed).</w:t>
      </w:r>
    </w:p>
    <w:p w:rsidR="009C43F8" w:rsidRPr="009C43F8" w:rsidRDefault="009C43F8" w:rsidP="009C43F8">
      <w:pPr>
        <w:tabs>
          <w:tab w:val="left" w:pos="1559"/>
        </w:tabs>
        <w:spacing w:after="120"/>
        <w:rPr>
          <w:u w:val="single"/>
          <w:lang w:val="en-GB"/>
        </w:rPr>
      </w:pPr>
      <w:r>
        <w:rPr>
          <w:u w:val="single"/>
          <w:lang w:val="en-GB"/>
        </w:rPr>
        <w:t>Operational Expenditure</w:t>
      </w:r>
    </w:p>
    <w:p w:rsidR="009C43F8" w:rsidRPr="006D6BA7" w:rsidRDefault="009C43F8" w:rsidP="006D6BA7">
      <w:pPr>
        <w:tabs>
          <w:tab w:val="left" w:pos="1559"/>
        </w:tabs>
        <w:spacing w:after="120"/>
        <w:ind w:left="1558" w:hanging="567"/>
        <w:rPr>
          <w:lang w:val="en-GB"/>
        </w:rPr>
      </w:pPr>
      <w:r w:rsidRPr="00E64280">
        <w:rPr>
          <w:lang w:val="en-GB"/>
        </w:rPr>
        <w:t>b.</w:t>
      </w:r>
      <w:r w:rsidRPr="00E64280">
        <w:rPr>
          <w:lang w:val="en-GB"/>
        </w:rPr>
        <w:tab/>
        <w:t xml:space="preserve">Approve the procurement plans (where applicable), preferred supplier, and contracts, for all operational expenditure where the value of the contract exceeds $10 Million (noting that the Committee may sub delegate authority for approval of the preferred supplier and/or contract to the Chief Executive provided the procurement plan strategy is followed). </w:t>
      </w:r>
    </w:p>
    <w:p w:rsidR="009C43F8" w:rsidRDefault="009C43F8" w:rsidP="00FC5DC3">
      <w:pPr>
        <w:ind w:left="142"/>
        <w:rPr>
          <w:szCs w:val="22"/>
        </w:rPr>
      </w:pPr>
    </w:p>
    <w:p w:rsidR="00FC5DC3" w:rsidRDefault="00FC5DC3" w:rsidP="00FC5DC3">
      <w:pPr>
        <w:ind w:left="142"/>
        <w:rPr>
          <w:szCs w:val="22"/>
        </w:rPr>
      </w:pPr>
      <w:r w:rsidRPr="007533F5">
        <w:rPr>
          <w:szCs w:val="22"/>
        </w:rPr>
        <w:t xml:space="preserve">The Committee delegates </w:t>
      </w:r>
      <w:r>
        <w:rPr>
          <w:szCs w:val="22"/>
        </w:rPr>
        <w:t xml:space="preserve">to the following subcommittees or working groups the </w:t>
      </w:r>
      <w:r w:rsidRPr="007533F5">
        <w:rPr>
          <w:szCs w:val="22"/>
        </w:rPr>
        <w:t xml:space="preserve">responsibility to </w:t>
      </w:r>
      <w:r>
        <w:rPr>
          <w:szCs w:val="22"/>
        </w:rPr>
        <w:t>consider and report back to the Committee:</w:t>
      </w:r>
    </w:p>
    <w:p w:rsidR="00FC5DC3" w:rsidRDefault="00FC5DC3" w:rsidP="00FC5DC3">
      <w:pPr>
        <w:pStyle w:val="ListBullet"/>
        <w:spacing w:before="60"/>
        <w:ind w:left="993" w:hanging="426"/>
        <w:contextualSpacing w:val="0"/>
      </w:pPr>
      <w:r>
        <w:t>Insurance Subcommittee</w:t>
      </w:r>
      <w:r w:rsidRPr="007533F5">
        <w:t xml:space="preserve">  </w:t>
      </w:r>
    </w:p>
    <w:p w:rsidR="00532EF0" w:rsidRDefault="00532EF0" w:rsidP="00353377">
      <w:pPr>
        <w:pStyle w:val="ListBullet"/>
        <w:numPr>
          <w:ilvl w:val="0"/>
          <w:numId w:val="0"/>
        </w:numPr>
        <w:spacing w:before="60"/>
        <w:contextualSpacing w:val="0"/>
      </w:pPr>
    </w:p>
    <w:sectPr w:rsidR="00532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C3" w:rsidRDefault="00FC5DC3" w:rsidP="00FC5DC3">
      <w:r>
        <w:separator/>
      </w:r>
    </w:p>
  </w:endnote>
  <w:endnote w:type="continuationSeparator" w:id="0">
    <w:p w:rsidR="00FC5DC3" w:rsidRDefault="00FC5DC3" w:rsidP="00FC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C3" w:rsidRDefault="00FC5DC3" w:rsidP="00FC5DC3">
      <w:r>
        <w:separator/>
      </w:r>
    </w:p>
  </w:footnote>
  <w:footnote w:type="continuationSeparator" w:id="0">
    <w:p w:rsidR="00FC5DC3" w:rsidRDefault="00FC5DC3" w:rsidP="00FC5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F6AEC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BD855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57062"/>
    <w:multiLevelType w:val="hybridMultilevel"/>
    <w:tmpl w:val="664878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BE1647"/>
    <w:multiLevelType w:val="hybridMultilevel"/>
    <w:tmpl w:val="2CF4DEA6"/>
    <w:lvl w:ilvl="0" w:tplc="14090001">
      <w:start w:val="1"/>
      <w:numFmt w:val="bullet"/>
      <w:lvlText w:val=""/>
      <w:lvlJc w:val="left"/>
      <w:pPr>
        <w:ind w:left="580" w:hanging="360"/>
      </w:pPr>
      <w:rPr>
        <w:rFonts w:ascii="Symbol" w:hAnsi="Symbol" w:hint="default"/>
      </w:rPr>
    </w:lvl>
    <w:lvl w:ilvl="1" w:tplc="14090003" w:tentative="1">
      <w:start w:val="1"/>
      <w:numFmt w:val="bullet"/>
      <w:lvlText w:val="o"/>
      <w:lvlJc w:val="left"/>
      <w:pPr>
        <w:ind w:left="1300" w:hanging="360"/>
      </w:pPr>
      <w:rPr>
        <w:rFonts w:ascii="Courier New" w:hAnsi="Courier New" w:cs="Courier New" w:hint="default"/>
      </w:rPr>
    </w:lvl>
    <w:lvl w:ilvl="2" w:tplc="14090005" w:tentative="1">
      <w:start w:val="1"/>
      <w:numFmt w:val="bullet"/>
      <w:lvlText w:val=""/>
      <w:lvlJc w:val="left"/>
      <w:pPr>
        <w:ind w:left="2020" w:hanging="360"/>
      </w:pPr>
      <w:rPr>
        <w:rFonts w:ascii="Wingdings" w:hAnsi="Wingdings" w:hint="default"/>
      </w:rPr>
    </w:lvl>
    <w:lvl w:ilvl="3" w:tplc="14090001" w:tentative="1">
      <w:start w:val="1"/>
      <w:numFmt w:val="bullet"/>
      <w:lvlText w:val=""/>
      <w:lvlJc w:val="left"/>
      <w:pPr>
        <w:ind w:left="2740" w:hanging="360"/>
      </w:pPr>
      <w:rPr>
        <w:rFonts w:ascii="Symbol" w:hAnsi="Symbol" w:hint="default"/>
      </w:rPr>
    </w:lvl>
    <w:lvl w:ilvl="4" w:tplc="14090003" w:tentative="1">
      <w:start w:val="1"/>
      <w:numFmt w:val="bullet"/>
      <w:lvlText w:val="o"/>
      <w:lvlJc w:val="left"/>
      <w:pPr>
        <w:ind w:left="3460" w:hanging="360"/>
      </w:pPr>
      <w:rPr>
        <w:rFonts w:ascii="Courier New" w:hAnsi="Courier New" w:cs="Courier New" w:hint="default"/>
      </w:rPr>
    </w:lvl>
    <w:lvl w:ilvl="5" w:tplc="14090005" w:tentative="1">
      <w:start w:val="1"/>
      <w:numFmt w:val="bullet"/>
      <w:lvlText w:val=""/>
      <w:lvlJc w:val="left"/>
      <w:pPr>
        <w:ind w:left="4180" w:hanging="360"/>
      </w:pPr>
      <w:rPr>
        <w:rFonts w:ascii="Wingdings" w:hAnsi="Wingdings" w:hint="default"/>
      </w:rPr>
    </w:lvl>
    <w:lvl w:ilvl="6" w:tplc="14090001" w:tentative="1">
      <w:start w:val="1"/>
      <w:numFmt w:val="bullet"/>
      <w:lvlText w:val=""/>
      <w:lvlJc w:val="left"/>
      <w:pPr>
        <w:ind w:left="4900" w:hanging="360"/>
      </w:pPr>
      <w:rPr>
        <w:rFonts w:ascii="Symbol" w:hAnsi="Symbol" w:hint="default"/>
      </w:rPr>
    </w:lvl>
    <w:lvl w:ilvl="7" w:tplc="14090003" w:tentative="1">
      <w:start w:val="1"/>
      <w:numFmt w:val="bullet"/>
      <w:lvlText w:val="o"/>
      <w:lvlJc w:val="left"/>
      <w:pPr>
        <w:ind w:left="5620" w:hanging="360"/>
      </w:pPr>
      <w:rPr>
        <w:rFonts w:ascii="Courier New" w:hAnsi="Courier New" w:cs="Courier New" w:hint="default"/>
      </w:rPr>
    </w:lvl>
    <w:lvl w:ilvl="8" w:tplc="14090005" w:tentative="1">
      <w:start w:val="1"/>
      <w:numFmt w:val="bullet"/>
      <w:lvlText w:val=""/>
      <w:lvlJc w:val="left"/>
      <w:pPr>
        <w:ind w:left="6340" w:hanging="360"/>
      </w:pPr>
      <w:rPr>
        <w:rFonts w:ascii="Wingdings" w:hAnsi="Wingdings" w:hint="default"/>
      </w:rPr>
    </w:lvl>
  </w:abstractNum>
  <w:abstractNum w:abstractNumId="4" w15:restartNumberingAfterBreak="0">
    <w:nsid w:val="1E0A1A98"/>
    <w:multiLevelType w:val="multilevel"/>
    <w:tmpl w:val="BC3E168A"/>
    <w:lvl w:ilvl="0">
      <w:start w:val="1"/>
      <w:numFmt w:val="decimal"/>
      <w:pStyle w:val="ICRecommendationList1"/>
      <w:lvlText w:val="%1."/>
      <w:lvlJc w:val="left"/>
      <w:pPr>
        <w:tabs>
          <w:tab w:val="num" w:pos="992"/>
        </w:tabs>
        <w:ind w:left="992" w:hanging="567"/>
      </w:pPr>
      <w:rPr>
        <w:rFonts w:ascii="Calibri" w:hAnsi="Calibri" w:hint="default"/>
        <w:b w:val="0"/>
        <w:i w:val="0"/>
        <w:color w:val="auto"/>
        <w:sz w:val="22"/>
      </w:rPr>
    </w:lvl>
    <w:lvl w:ilvl="1">
      <w:start w:val="1"/>
      <w:numFmt w:val="lowerLetter"/>
      <w:pStyle w:val="ICRecommendationList2"/>
      <w:lvlText w:val="%2."/>
      <w:lvlJc w:val="left"/>
      <w:pPr>
        <w:tabs>
          <w:tab w:val="num" w:pos="1559"/>
        </w:tabs>
        <w:ind w:left="1559" w:hanging="567"/>
      </w:pPr>
      <w:rPr>
        <w:rFonts w:ascii="Calibri" w:hAnsi="Calibri" w:hint="default"/>
        <w:b w:val="0"/>
        <w:i w:val="0"/>
        <w:color w:val="auto"/>
        <w:sz w:val="22"/>
      </w:rPr>
    </w:lvl>
    <w:lvl w:ilvl="2">
      <w:start w:val="1"/>
      <w:numFmt w:val="lowerRoman"/>
      <w:lvlText w:val="%3."/>
      <w:lvlJc w:val="left"/>
      <w:pPr>
        <w:tabs>
          <w:tab w:val="num" w:pos="2126"/>
        </w:tabs>
        <w:ind w:left="2126" w:hanging="567"/>
      </w:pPr>
      <w:rPr>
        <w:rFonts w:ascii="Calibri" w:hAnsi="Calibri" w:hint="default"/>
        <w:b w:val="0"/>
        <w:i w:val="0"/>
        <w:color w:val="384BF0"/>
        <w:sz w:val="22"/>
      </w:rPr>
    </w:lvl>
    <w:lvl w:ilvl="3">
      <w:start w:val="1"/>
      <w:numFmt w:val="bullet"/>
      <w:lvlRestart w:val="0"/>
      <w:lvlText w:val=""/>
      <w:lvlJc w:val="left"/>
      <w:pPr>
        <w:tabs>
          <w:tab w:val="num" w:pos="992"/>
        </w:tabs>
        <w:ind w:left="1276" w:hanging="284"/>
      </w:pPr>
      <w:rPr>
        <w:rFonts w:ascii="Symbol" w:hAnsi="Symbol" w:hint="default"/>
        <w:b w:val="0"/>
        <w:i w:val="0"/>
        <w:caps w:val="0"/>
        <w:strike w:val="0"/>
        <w:dstrike w:val="0"/>
        <w:vanish w:val="0"/>
        <w:color w:val="384BF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843" w:hanging="284"/>
      </w:pPr>
      <w:rPr>
        <w:rFonts w:ascii="Symbol" w:hAnsi="Symbol" w:hint="default"/>
        <w:color w:val="384BF0"/>
        <w:sz w:val="22"/>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5" w15:restartNumberingAfterBreak="0">
    <w:nsid w:val="21DA6CE4"/>
    <w:multiLevelType w:val="hybridMultilevel"/>
    <w:tmpl w:val="7B6EBDDC"/>
    <w:lvl w:ilvl="0" w:tplc="14090001">
      <w:start w:val="1"/>
      <w:numFmt w:val="bullet"/>
      <w:lvlText w:val=""/>
      <w:lvlJc w:val="left"/>
      <w:pPr>
        <w:ind w:left="940" w:hanging="360"/>
      </w:pPr>
      <w:rPr>
        <w:rFonts w:ascii="Symbol" w:hAnsi="Symbol" w:hint="default"/>
      </w:rPr>
    </w:lvl>
    <w:lvl w:ilvl="1" w:tplc="14090003" w:tentative="1">
      <w:start w:val="1"/>
      <w:numFmt w:val="bullet"/>
      <w:lvlText w:val="o"/>
      <w:lvlJc w:val="left"/>
      <w:pPr>
        <w:ind w:left="1660" w:hanging="360"/>
      </w:pPr>
      <w:rPr>
        <w:rFonts w:ascii="Courier New" w:hAnsi="Courier New" w:cs="Courier New" w:hint="default"/>
      </w:rPr>
    </w:lvl>
    <w:lvl w:ilvl="2" w:tplc="14090005" w:tentative="1">
      <w:start w:val="1"/>
      <w:numFmt w:val="bullet"/>
      <w:lvlText w:val=""/>
      <w:lvlJc w:val="left"/>
      <w:pPr>
        <w:ind w:left="2380" w:hanging="360"/>
      </w:pPr>
      <w:rPr>
        <w:rFonts w:ascii="Wingdings" w:hAnsi="Wingdings" w:hint="default"/>
      </w:rPr>
    </w:lvl>
    <w:lvl w:ilvl="3" w:tplc="14090001" w:tentative="1">
      <w:start w:val="1"/>
      <w:numFmt w:val="bullet"/>
      <w:lvlText w:val=""/>
      <w:lvlJc w:val="left"/>
      <w:pPr>
        <w:ind w:left="3100" w:hanging="360"/>
      </w:pPr>
      <w:rPr>
        <w:rFonts w:ascii="Symbol" w:hAnsi="Symbol" w:hint="default"/>
      </w:rPr>
    </w:lvl>
    <w:lvl w:ilvl="4" w:tplc="14090003" w:tentative="1">
      <w:start w:val="1"/>
      <w:numFmt w:val="bullet"/>
      <w:lvlText w:val="o"/>
      <w:lvlJc w:val="left"/>
      <w:pPr>
        <w:ind w:left="3820" w:hanging="360"/>
      </w:pPr>
      <w:rPr>
        <w:rFonts w:ascii="Courier New" w:hAnsi="Courier New" w:cs="Courier New" w:hint="default"/>
      </w:rPr>
    </w:lvl>
    <w:lvl w:ilvl="5" w:tplc="14090005" w:tentative="1">
      <w:start w:val="1"/>
      <w:numFmt w:val="bullet"/>
      <w:lvlText w:val=""/>
      <w:lvlJc w:val="left"/>
      <w:pPr>
        <w:ind w:left="4540" w:hanging="360"/>
      </w:pPr>
      <w:rPr>
        <w:rFonts w:ascii="Wingdings" w:hAnsi="Wingdings" w:hint="default"/>
      </w:rPr>
    </w:lvl>
    <w:lvl w:ilvl="6" w:tplc="14090001" w:tentative="1">
      <w:start w:val="1"/>
      <w:numFmt w:val="bullet"/>
      <w:lvlText w:val=""/>
      <w:lvlJc w:val="left"/>
      <w:pPr>
        <w:ind w:left="5260" w:hanging="360"/>
      </w:pPr>
      <w:rPr>
        <w:rFonts w:ascii="Symbol" w:hAnsi="Symbol" w:hint="default"/>
      </w:rPr>
    </w:lvl>
    <w:lvl w:ilvl="7" w:tplc="14090003" w:tentative="1">
      <w:start w:val="1"/>
      <w:numFmt w:val="bullet"/>
      <w:lvlText w:val="o"/>
      <w:lvlJc w:val="left"/>
      <w:pPr>
        <w:ind w:left="5980" w:hanging="360"/>
      </w:pPr>
      <w:rPr>
        <w:rFonts w:ascii="Courier New" w:hAnsi="Courier New" w:cs="Courier New" w:hint="default"/>
      </w:rPr>
    </w:lvl>
    <w:lvl w:ilvl="8" w:tplc="14090005" w:tentative="1">
      <w:start w:val="1"/>
      <w:numFmt w:val="bullet"/>
      <w:lvlText w:val=""/>
      <w:lvlJc w:val="left"/>
      <w:pPr>
        <w:ind w:left="6700" w:hanging="360"/>
      </w:pPr>
      <w:rPr>
        <w:rFonts w:ascii="Wingdings" w:hAnsi="Wingdings" w:hint="default"/>
      </w:rPr>
    </w:lvl>
  </w:abstractNum>
  <w:abstractNum w:abstractNumId="6" w15:restartNumberingAfterBreak="0">
    <w:nsid w:val="2D403BE1"/>
    <w:multiLevelType w:val="hybridMultilevel"/>
    <w:tmpl w:val="C2D2ABC0"/>
    <w:lvl w:ilvl="0" w:tplc="14090001">
      <w:start w:val="1"/>
      <w:numFmt w:val="bullet"/>
      <w:lvlText w:val=""/>
      <w:lvlJc w:val="left"/>
      <w:pPr>
        <w:ind w:left="940" w:hanging="360"/>
      </w:pPr>
      <w:rPr>
        <w:rFonts w:ascii="Symbol" w:hAnsi="Symbol" w:hint="default"/>
      </w:rPr>
    </w:lvl>
    <w:lvl w:ilvl="1" w:tplc="14090003" w:tentative="1">
      <w:start w:val="1"/>
      <w:numFmt w:val="bullet"/>
      <w:lvlText w:val="o"/>
      <w:lvlJc w:val="left"/>
      <w:pPr>
        <w:ind w:left="1660" w:hanging="360"/>
      </w:pPr>
      <w:rPr>
        <w:rFonts w:ascii="Courier New" w:hAnsi="Courier New" w:cs="Courier New" w:hint="default"/>
      </w:rPr>
    </w:lvl>
    <w:lvl w:ilvl="2" w:tplc="14090005" w:tentative="1">
      <w:start w:val="1"/>
      <w:numFmt w:val="bullet"/>
      <w:lvlText w:val=""/>
      <w:lvlJc w:val="left"/>
      <w:pPr>
        <w:ind w:left="2380" w:hanging="360"/>
      </w:pPr>
      <w:rPr>
        <w:rFonts w:ascii="Wingdings" w:hAnsi="Wingdings" w:hint="default"/>
      </w:rPr>
    </w:lvl>
    <w:lvl w:ilvl="3" w:tplc="14090001" w:tentative="1">
      <w:start w:val="1"/>
      <w:numFmt w:val="bullet"/>
      <w:lvlText w:val=""/>
      <w:lvlJc w:val="left"/>
      <w:pPr>
        <w:ind w:left="3100" w:hanging="360"/>
      </w:pPr>
      <w:rPr>
        <w:rFonts w:ascii="Symbol" w:hAnsi="Symbol" w:hint="default"/>
      </w:rPr>
    </w:lvl>
    <w:lvl w:ilvl="4" w:tplc="14090003" w:tentative="1">
      <w:start w:val="1"/>
      <w:numFmt w:val="bullet"/>
      <w:lvlText w:val="o"/>
      <w:lvlJc w:val="left"/>
      <w:pPr>
        <w:ind w:left="3820" w:hanging="360"/>
      </w:pPr>
      <w:rPr>
        <w:rFonts w:ascii="Courier New" w:hAnsi="Courier New" w:cs="Courier New" w:hint="default"/>
      </w:rPr>
    </w:lvl>
    <w:lvl w:ilvl="5" w:tplc="14090005" w:tentative="1">
      <w:start w:val="1"/>
      <w:numFmt w:val="bullet"/>
      <w:lvlText w:val=""/>
      <w:lvlJc w:val="left"/>
      <w:pPr>
        <w:ind w:left="4540" w:hanging="360"/>
      </w:pPr>
      <w:rPr>
        <w:rFonts w:ascii="Wingdings" w:hAnsi="Wingdings" w:hint="default"/>
      </w:rPr>
    </w:lvl>
    <w:lvl w:ilvl="6" w:tplc="14090001" w:tentative="1">
      <w:start w:val="1"/>
      <w:numFmt w:val="bullet"/>
      <w:lvlText w:val=""/>
      <w:lvlJc w:val="left"/>
      <w:pPr>
        <w:ind w:left="5260" w:hanging="360"/>
      </w:pPr>
      <w:rPr>
        <w:rFonts w:ascii="Symbol" w:hAnsi="Symbol" w:hint="default"/>
      </w:rPr>
    </w:lvl>
    <w:lvl w:ilvl="7" w:tplc="14090003" w:tentative="1">
      <w:start w:val="1"/>
      <w:numFmt w:val="bullet"/>
      <w:lvlText w:val="o"/>
      <w:lvlJc w:val="left"/>
      <w:pPr>
        <w:ind w:left="5980" w:hanging="360"/>
      </w:pPr>
      <w:rPr>
        <w:rFonts w:ascii="Courier New" w:hAnsi="Courier New" w:cs="Courier New" w:hint="default"/>
      </w:rPr>
    </w:lvl>
    <w:lvl w:ilvl="8" w:tplc="14090005" w:tentative="1">
      <w:start w:val="1"/>
      <w:numFmt w:val="bullet"/>
      <w:lvlText w:val=""/>
      <w:lvlJc w:val="left"/>
      <w:pPr>
        <w:ind w:left="6700" w:hanging="360"/>
      </w:pPr>
      <w:rPr>
        <w:rFonts w:ascii="Wingdings" w:hAnsi="Wingdings" w:hint="default"/>
      </w:rPr>
    </w:lvl>
  </w:abstractNum>
  <w:abstractNum w:abstractNumId="7" w15:restartNumberingAfterBreak="0">
    <w:nsid w:val="37DD68FD"/>
    <w:multiLevelType w:val="hybridMultilevel"/>
    <w:tmpl w:val="035E83D8"/>
    <w:lvl w:ilvl="0" w:tplc="14090001">
      <w:start w:val="1"/>
      <w:numFmt w:val="bullet"/>
      <w:lvlText w:val=""/>
      <w:lvlJc w:val="left"/>
      <w:pPr>
        <w:ind w:left="940" w:hanging="360"/>
      </w:pPr>
      <w:rPr>
        <w:rFonts w:ascii="Symbol" w:hAnsi="Symbol" w:hint="default"/>
      </w:rPr>
    </w:lvl>
    <w:lvl w:ilvl="1" w:tplc="14090003" w:tentative="1">
      <w:start w:val="1"/>
      <w:numFmt w:val="bullet"/>
      <w:lvlText w:val="o"/>
      <w:lvlJc w:val="left"/>
      <w:pPr>
        <w:ind w:left="1660" w:hanging="360"/>
      </w:pPr>
      <w:rPr>
        <w:rFonts w:ascii="Courier New" w:hAnsi="Courier New" w:cs="Courier New" w:hint="default"/>
      </w:rPr>
    </w:lvl>
    <w:lvl w:ilvl="2" w:tplc="14090005" w:tentative="1">
      <w:start w:val="1"/>
      <w:numFmt w:val="bullet"/>
      <w:lvlText w:val=""/>
      <w:lvlJc w:val="left"/>
      <w:pPr>
        <w:ind w:left="2380" w:hanging="360"/>
      </w:pPr>
      <w:rPr>
        <w:rFonts w:ascii="Wingdings" w:hAnsi="Wingdings" w:hint="default"/>
      </w:rPr>
    </w:lvl>
    <w:lvl w:ilvl="3" w:tplc="14090001" w:tentative="1">
      <w:start w:val="1"/>
      <w:numFmt w:val="bullet"/>
      <w:lvlText w:val=""/>
      <w:lvlJc w:val="left"/>
      <w:pPr>
        <w:ind w:left="3100" w:hanging="360"/>
      </w:pPr>
      <w:rPr>
        <w:rFonts w:ascii="Symbol" w:hAnsi="Symbol" w:hint="default"/>
      </w:rPr>
    </w:lvl>
    <w:lvl w:ilvl="4" w:tplc="14090003" w:tentative="1">
      <w:start w:val="1"/>
      <w:numFmt w:val="bullet"/>
      <w:lvlText w:val="o"/>
      <w:lvlJc w:val="left"/>
      <w:pPr>
        <w:ind w:left="3820" w:hanging="360"/>
      </w:pPr>
      <w:rPr>
        <w:rFonts w:ascii="Courier New" w:hAnsi="Courier New" w:cs="Courier New" w:hint="default"/>
      </w:rPr>
    </w:lvl>
    <w:lvl w:ilvl="5" w:tplc="14090005" w:tentative="1">
      <w:start w:val="1"/>
      <w:numFmt w:val="bullet"/>
      <w:lvlText w:val=""/>
      <w:lvlJc w:val="left"/>
      <w:pPr>
        <w:ind w:left="4540" w:hanging="360"/>
      </w:pPr>
      <w:rPr>
        <w:rFonts w:ascii="Wingdings" w:hAnsi="Wingdings" w:hint="default"/>
      </w:rPr>
    </w:lvl>
    <w:lvl w:ilvl="6" w:tplc="14090001" w:tentative="1">
      <w:start w:val="1"/>
      <w:numFmt w:val="bullet"/>
      <w:lvlText w:val=""/>
      <w:lvlJc w:val="left"/>
      <w:pPr>
        <w:ind w:left="5260" w:hanging="360"/>
      </w:pPr>
      <w:rPr>
        <w:rFonts w:ascii="Symbol" w:hAnsi="Symbol" w:hint="default"/>
      </w:rPr>
    </w:lvl>
    <w:lvl w:ilvl="7" w:tplc="14090003" w:tentative="1">
      <w:start w:val="1"/>
      <w:numFmt w:val="bullet"/>
      <w:lvlText w:val="o"/>
      <w:lvlJc w:val="left"/>
      <w:pPr>
        <w:ind w:left="5980" w:hanging="360"/>
      </w:pPr>
      <w:rPr>
        <w:rFonts w:ascii="Courier New" w:hAnsi="Courier New" w:cs="Courier New" w:hint="default"/>
      </w:rPr>
    </w:lvl>
    <w:lvl w:ilvl="8" w:tplc="14090005" w:tentative="1">
      <w:start w:val="1"/>
      <w:numFmt w:val="bullet"/>
      <w:lvlText w:val=""/>
      <w:lvlJc w:val="left"/>
      <w:pPr>
        <w:ind w:left="6700" w:hanging="360"/>
      </w:pPr>
      <w:rPr>
        <w:rFonts w:ascii="Wingdings" w:hAnsi="Wingdings" w:hint="default"/>
      </w:rPr>
    </w:lvl>
  </w:abstractNum>
  <w:abstractNum w:abstractNumId="8" w15:restartNumberingAfterBreak="0">
    <w:nsid w:val="3CC93B2D"/>
    <w:multiLevelType w:val="hybridMultilevel"/>
    <w:tmpl w:val="BC72DF94"/>
    <w:lvl w:ilvl="0" w:tplc="14090001">
      <w:start w:val="1"/>
      <w:numFmt w:val="bullet"/>
      <w:lvlText w:val=""/>
      <w:lvlJc w:val="left"/>
      <w:pPr>
        <w:ind w:left="940" w:hanging="360"/>
      </w:pPr>
      <w:rPr>
        <w:rFonts w:ascii="Symbol" w:hAnsi="Symbol" w:hint="default"/>
      </w:rPr>
    </w:lvl>
    <w:lvl w:ilvl="1" w:tplc="14090003" w:tentative="1">
      <w:start w:val="1"/>
      <w:numFmt w:val="bullet"/>
      <w:lvlText w:val="o"/>
      <w:lvlJc w:val="left"/>
      <w:pPr>
        <w:ind w:left="1660" w:hanging="360"/>
      </w:pPr>
      <w:rPr>
        <w:rFonts w:ascii="Courier New" w:hAnsi="Courier New" w:cs="Courier New" w:hint="default"/>
      </w:rPr>
    </w:lvl>
    <w:lvl w:ilvl="2" w:tplc="14090005" w:tentative="1">
      <w:start w:val="1"/>
      <w:numFmt w:val="bullet"/>
      <w:lvlText w:val=""/>
      <w:lvlJc w:val="left"/>
      <w:pPr>
        <w:ind w:left="2380" w:hanging="360"/>
      </w:pPr>
      <w:rPr>
        <w:rFonts w:ascii="Wingdings" w:hAnsi="Wingdings" w:hint="default"/>
      </w:rPr>
    </w:lvl>
    <w:lvl w:ilvl="3" w:tplc="14090001" w:tentative="1">
      <w:start w:val="1"/>
      <w:numFmt w:val="bullet"/>
      <w:lvlText w:val=""/>
      <w:lvlJc w:val="left"/>
      <w:pPr>
        <w:ind w:left="3100" w:hanging="360"/>
      </w:pPr>
      <w:rPr>
        <w:rFonts w:ascii="Symbol" w:hAnsi="Symbol" w:hint="default"/>
      </w:rPr>
    </w:lvl>
    <w:lvl w:ilvl="4" w:tplc="14090003" w:tentative="1">
      <w:start w:val="1"/>
      <w:numFmt w:val="bullet"/>
      <w:lvlText w:val="o"/>
      <w:lvlJc w:val="left"/>
      <w:pPr>
        <w:ind w:left="3820" w:hanging="360"/>
      </w:pPr>
      <w:rPr>
        <w:rFonts w:ascii="Courier New" w:hAnsi="Courier New" w:cs="Courier New" w:hint="default"/>
      </w:rPr>
    </w:lvl>
    <w:lvl w:ilvl="5" w:tplc="14090005" w:tentative="1">
      <w:start w:val="1"/>
      <w:numFmt w:val="bullet"/>
      <w:lvlText w:val=""/>
      <w:lvlJc w:val="left"/>
      <w:pPr>
        <w:ind w:left="4540" w:hanging="360"/>
      </w:pPr>
      <w:rPr>
        <w:rFonts w:ascii="Wingdings" w:hAnsi="Wingdings" w:hint="default"/>
      </w:rPr>
    </w:lvl>
    <w:lvl w:ilvl="6" w:tplc="14090001" w:tentative="1">
      <w:start w:val="1"/>
      <w:numFmt w:val="bullet"/>
      <w:lvlText w:val=""/>
      <w:lvlJc w:val="left"/>
      <w:pPr>
        <w:ind w:left="5260" w:hanging="360"/>
      </w:pPr>
      <w:rPr>
        <w:rFonts w:ascii="Symbol" w:hAnsi="Symbol" w:hint="default"/>
      </w:rPr>
    </w:lvl>
    <w:lvl w:ilvl="7" w:tplc="14090003" w:tentative="1">
      <w:start w:val="1"/>
      <w:numFmt w:val="bullet"/>
      <w:lvlText w:val="o"/>
      <w:lvlJc w:val="left"/>
      <w:pPr>
        <w:ind w:left="5980" w:hanging="360"/>
      </w:pPr>
      <w:rPr>
        <w:rFonts w:ascii="Courier New" w:hAnsi="Courier New" w:cs="Courier New" w:hint="default"/>
      </w:rPr>
    </w:lvl>
    <w:lvl w:ilvl="8" w:tplc="14090005" w:tentative="1">
      <w:start w:val="1"/>
      <w:numFmt w:val="bullet"/>
      <w:lvlText w:val=""/>
      <w:lvlJc w:val="left"/>
      <w:pPr>
        <w:ind w:left="6700" w:hanging="360"/>
      </w:pPr>
      <w:rPr>
        <w:rFonts w:ascii="Wingdings" w:hAnsi="Wingdings" w:hint="default"/>
      </w:rPr>
    </w:lvl>
  </w:abstractNum>
  <w:abstractNum w:abstractNumId="9" w15:restartNumberingAfterBreak="0">
    <w:nsid w:val="430028EF"/>
    <w:multiLevelType w:val="hybridMultilevel"/>
    <w:tmpl w:val="72C09662"/>
    <w:lvl w:ilvl="0" w:tplc="C7BE7ECC">
      <w:start w:val="1"/>
      <w:numFmt w:val="bullet"/>
      <w:lvlText w:val=""/>
      <w:lvlJc w:val="left"/>
      <w:pPr>
        <w:ind w:left="940" w:hanging="360"/>
      </w:pPr>
      <w:rPr>
        <w:rFonts w:ascii="Symbol" w:hAnsi="Symbol" w:hint="default"/>
        <w:sz w:val="22"/>
        <w:szCs w:val="22"/>
      </w:rPr>
    </w:lvl>
    <w:lvl w:ilvl="1" w:tplc="14090003" w:tentative="1">
      <w:start w:val="1"/>
      <w:numFmt w:val="bullet"/>
      <w:lvlText w:val="o"/>
      <w:lvlJc w:val="left"/>
      <w:pPr>
        <w:ind w:left="1660" w:hanging="360"/>
      </w:pPr>
      <w:rPr>
        <w:rFonts w:ascii="Courier New" w:hAnsi="Courier New" w:cs="Courier New" w:hint="default"/>
      </w:rPr>
    </w:lvl>
    <w:lvl w:ilvl="2" w:tplc="14090005" w:tentative="1">
      <w:start w:val="1"/>
      <w:numFmt w:val="bullet"/>
      <w:lvlText w:val=""/>
      <w:lvlJc w:val="left"/>
      <w:pPr>
        <w:ind w:left="2380" w:hanging="360"/>
      </w:pPr>
      <w:rPr>
        <w:rFonts w:ascii="Wingdings" w:hAnsi="Wingdings" w:hint="default"/>
      </w:rPr>
    </w:lvl>
    <w:lvl w:ilvl="3" w:tplc="14090001" w:tentative="1">
      <w:start w:val="1"/>
      <w:numFmt w:val="bullet"/>
      <w:lvlText w:val=""/>
      <w:lvlJc w:val="left"/>
      <w:pPr>
        <w:ind w:left="3100" w:hanging="360"/>
      </w:pPr>
      <w:rPr>
        <w:rFonts w:ascii="Symbol" w:hAnsi="Symbol" w:hint="default"/>
      </w:rPr>
    </w:lvl>
    <w:lvl w:ilvl="4" w:tplc="14090003" w:tentative="1">
      <w:start w:val="1"/>
      <w:numFmt w:val="bullet"/>
      <w:lvlText w:val="o"/>
      <w:lvlJc w:val="left"/>
      <w:pPr>
        <w:ind w:left="3820" w:hanging="360"/>
      </w:pPr>
      <w:rPr>
        <w:rFonts w:ascii="Courier New" w:hAnsi="Courier New" w:cs="Courier New" w:hint="default"/>
      </w:rPr>
    </w:lvl>
    <w:lvl w:ilvl="5" w:tplc="14090005" w:tentative="1">
      <w:start w:val="1"/>
      <w:numFmt w:val="bullet"/>
      <w:lvlText w:val=""/>
      <w:lvlJc w:val="left"/>
      <w:pPr>
        <w:ind w:left="4540" w:hanging="360"/>
      </w:pPr>
      <w:rPr>
        <w:rFonts w:ascii="Wingdings" w:hAnsi="Wingdings" w:hint="default"/>
      </w:rPr>
    </w:lvl>
    <w:lvl w:ilvl="6" w:tplc="14090001" w:tentative="1">
      <w:start w:val="1"/>
      <w:numFmt w:val="bullet"/>
      <w:lvlText w:val=""/>
      <w:lvlJc w:val="left"/>
      <w:pPr>
        <w:ind w:left="5260" w:hanging="360"/>
      </w:pPr>
      <w:rPr>
        <w:rFonts w:ascii="Symbol" w:hAnsi="Symbol" w:hint="default"/>
      </w:rPr>
    </w:lvl>
    <w:lvl w:ilvl="7" w:tplc="14090003" w:tentative="1">
      <w:start w:val="1"/>
      <w:numFmt w:val="bullet"/>
      <w:lvlText w:val="o"/>
      <w:lvlJc w:val="left"/>
      <w:pPr>
        <w:ind w:left="5980" w:hanging="360"/>
      </w:pPr>
      <w:rPr>
        <w:rFonts w:ascii="Courier New" w:hAnsi="Courier New" w:cs="Courier New" w:hint="default"/>
      </w:rPr>
    </w:lvl>
    <w:lvl w:ilvl="8" w:tplc="14090005" w:tentative="1">
      <w:start w:val="1"/>
      <w:numFmt w:val="bullet"/>
      <w:lvlText w:val=""/>
      <w:lvlJc w:val="left"/>
      <w:pPr>
        <w:ind w:left="6700" w:hanging="360"/>
      </w:pPr>
      <w:rPr>
        <w:rFonts w:ascii="Wingdings" w:hAnsi="Wingdings" w:hint="default"/>
      </w:rPr>
    </w:lvl>
  </w:abstractNum>
  <w:abstractNum w:abstractNumId="10" w15:restartNumberingAfterBreak="0">
    <w:nsid w:val="43A66865"/>
    <w:multiLevelType w:val="hybridMultilevel"/>
    <w:tmpl w:val="3418E6B8"/>
    <w:lvl w:ilvl="0" w:tplc="566A9A4E">
      <w:start w:val="5"/>
      <w:numFmt w:val="bullet"/>
      <w:lvlText w:val="-"/>
      <w:lvlJc w:val="left"/>
      <w:pPr>
        <w:ind w:left="1353" w:hanging="360"/>
      </w:pPr>
      <w:rPr>
        <w:rFonts w:ascii="Calibri" w:eastAsia="Times New Roman" w:hAnsi="Calibri" w:cs="Times New Roman"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11" w15:restartNumberingAfterBreak="0">
    <w:nsid w:val="4FEC4A32"/>
    <w:multiLevelType w:val="hybridMultilevel"/>
    <w:tmpl w:val="3446A8A4"/>
    <w:lvl w:ilvl="0" w:tplc="3C645780">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11290F"/>
    <w:multiLevelType w:val="hybridMultilevel"/>
    <w:tmpl w:val="BDBA3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0D4FA7"/>
    <w:multiLevelType w:val="hybridMultilevel"/>
    <w:tmpl w:val="E82C8CE0"/>
    <w:lvl w:ilvl="0" w:tplc="1BC81844">
      <w:numFmt w:val="bullet"/>
      <w:lvlText w:val="-"/>
      <w:lvlJc w:val="left"/>
      <w:pPr>
        <w:ind w:left="1800" w:hanging="360"/>
      </w:pPr>
      <w:rPr>
        <w:rFonts w:ascii="Calibri" w:eastAsia="Times New Roman" w:hAnsi="Calibri" w:cs="Calibri"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7C8E34CD"/>
    <w:multiLevelType w:val="hybridMultilevel"/>
    <w:tmpl w:val="C4381E72"/>
    <w:lvl w:ilvl="0" w:tplc="A6D85A9E">
      <w:start w:val="2"/>
      <w:numFmt w:val="lowerLetter"/>
      <w:lvlText w:val="%1."/>
      <w:lvlJc w:val="left"/>
      <w:pPr>
        <w:ind w:left="1919" w:hanging="360"/>
      </w:pPr>
      <w:rPr>
        <w:rFonts w:hint="default"/>
      </w:rPr>
    </w:lvl>
    <w:lvl w:ilvl="1" w:tplc="14090019" w:tentative="1">
      <w:start w:val="1"/>
      <w:numFmt w:val="lowerLetter"/>
      <w:lvlText w:val="%2."/>
      <w:lvlJc w:val="left"/>
      <w:pPr>
        <w:ind w:left="2639" w:hanging="360"/>
      </w:pPr>
    </w:lvl>
    <w:lvl w:ilvl="2" w:tplc="1409001B" w:tentative="1">
      <w:start w:val="1"/>
      <w:numFmt w:val="lowerRoman"/>
      <w:lvlText w:val="%3."/>
      <w:lvlJc w:val="right"/>
      <w:pPr>
        <w:ind w:left="3359" w:hanging="180"/>
      </w:pPr>
    </w:lvl>
    <w:lvl w:ilvl="3" w:tplc="1409000F" w:tentative="1">
      <w:start w:val="1"/>
      <w:numFmt w:val="decimal"/>
      <w:lvlText w:val="%4."/>
      <w:lvlJc w:val="left"/>
      <w:pPr>
        <w:ind w:left="4079" w:hanging="360"/>
      </w:pPr>
    </w:lvl>
    <w:lvl w:ilvl="4" w:tplc="14090019" w:tentative="1">
      <w:start w:val="1"/>
      <w:numFmt w:val="lowerLetter"/>
      <w:lvlText w:val="%5."/>
      <w:lvlJc w:val="left"/>
      <w:pPr>
        <w:ind w:left="4799" w:hanging="360"/>
      </w:pPr>
    </w:lvl>
    <w:lvl w:ilvl="5" w:tplc="1409001B" w:tentative="1">
      <w:start w:val="1"/>
      <w:numFmt w:val="lowerRoman"/>
      <w:lvlText w:val="%6."/>
      <w:lvlJc w:val="right"/>
      <w:pPr>
        <w:ind w:left="5519" w:hanging="180"/>
      </w:pPr>
    </w:lvl>
    <w:lvl w:ilvl="6" w:tplc="1409000F" w:tentative="1">
      <w:start w:val="1"/>
      <w:numFmt w:val="decimal"/>
      <w:lvlText w:val="%7."/>
      <w:lvlJc w:val="left"/>
      <w:pPr>
        <w:ind w:left="6239" w:hanging="360"/>
      </w:pPr>
    </w:lvl>
    <w:lvl w:ilvl="7" w:tplc="14090019" w:tentative="1">
      <w:start w:val="1"/>
      <w:numFmt w:val="lowerLetter"/>
      <w:lvlText w:val="%8."/>
      <w:lvlJc w:val="left"/>
      <w:pPr>
        <w:ind w:left="6959" w:hanging="360"/>
      </w:pPr>
    </w:lvl>
    <w:lvl w:ilvl="8" w:tplc="1409001B" w:tentative="1">
      <w:start w:val="1"/>
      <w:numFmt w:val="lowerRoman"/>
      <w:lvlText w:val="%9."/>
      <w:lvlJc w:val="right"/>
      <w:pPr>
        <w:ind w:left="7679" w:hanging="180"/>
      </w:pPr>
    </w:lvl>
  </w:abstractNum>
  <w:num w:numId="1">
    <w:abstractNumId w:val="1"/>
  </w:num>
  <w:num w:numId="2">
    <w:abstractNumId w:val="4"/>
  </w:num>
  <w:num w:numId="3">
    <w:abstractNumId w:val="3"/>
  </w:num>
  <w:num w:numId="4">
    <w:abstractNumId w:val="2"/>
  </w:num>
  <w:num w:numId="5">
    <w:abstractNumId w:val="13"/>
  </w:num>
  <w:num w:numId="6">
    <w:abstractNumId w:val="10"/>
  </w:num>
  <w:num w:numId="7">
    <w:abstractNumId w:val="14"/>
  </w:num>
  <w:num w:numId="8">
    <w:abstractNumId w:val="7"/>
  </w:num>
  <w:num w:numId="9">
    <w:abstractNumId w:val="6"/>
  </w:num>
  <w:num w:numId="10">
    <w:abstractNumId w:val="9"/>
  </w:num>
  <w:num w:numId="11">
    <w:abstractNumId w:val="5"/>
  </w:num>
  <w:num w:numId="12">
    <w:abstractNumId w:val="8"/>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C3"/>
    <w:rsid w:val="000132FC"/>
    <w:rsid w:val="00071992"/>
    <w:rsid w:val="00133AD6"/>
    <w:rsid w:val="00353377"/>
    <w:rsid w:val="00532EF0"/>
    <w:rsid w:val="005C37C2"/>
    <w:rsid w:val="005D33A6"/>
    <w:rsid w:val="006D6BA7"/>
    <w:rsid w:val="0097518C"/>
    <w:rsid w:val="009C43F8"/>
    <w:rsid w:val="00AA6AEF"/>
    <w:rsid w:val="00FC5D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12308-B260-46C8-85D7-36B49A0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C3"/>
    <w:pPr>
      <w:spacing w:after="0" w:line="240" w:lineRule="auto"/>
    </w:pPr>
    <w:rPr>
      <w:rFonts w:ascii="Calibri" w:eastAsia="Times New Roman" w:hAnsi="Calibri" w:cs="Times New Roman"/>
      <w:szCs w:val="24"/>
      <w:lang w:eastAsia="en-GB"/>
    </w:rPr>
  </w:style>
  <w:style w:type="paragraph" w:styleId="Heading1">
    <w:name w:val="heading 1"/>
    <w:basedOn w:val="Normal"/>
    <w:next w:val="Normal"/>
    <w:link w:val="Heading1Char"/>
    <w:qFormat/>
    <w:rsid w:val="00FC5DC3"/>
    <w:pPr>
      <w:keepNext/>
      <w:spacing w:before="240" w:after="120"/>
      <w:outlineLvl w:val="0"/>
    </w:pPr>
    <w:rPr>
      <w:b/>
      <w:caps/>
      <w:lang w:val="en-AU"/>
    </w:rPr>
  </w:style>
  <w:style w:type="paragraph" w:styleId="Heading2">
    <w:name w:val="heading 2"/>
    <w:basedOn w:val="Normal"/>
    <w:next w:val="Normal"/>
    <w:link w:val="Heading2Char"/>
    <w:semiHidden/>
    <w:qFormat/>
    <w:rsid w:val="00FC5DC3"/>
    <w:pPr>
      <w:keepNext/>
      <w:spacing w:before="480"/>
      <w:outlineLvl w:val="1"/>
    </w:pPr>
    <w:rPr>
      <w:b/>
      <w:i/>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DC3"/>
    <w:rPr>
      <w:rFonts w:ascii="Calibri" w:eastAsia="Times New Roman" w:hAnsi="Calibri" w:cs="Times New Roman"/>
      <w:b/>
      <w:caps/>
      <w:szCs w:val="24"/>
      <w:lang w:val="en-AU" w:eastAsia="en-GB"/>
    </w:rPr>
  </w:style>
  <w:style w:type="character" w:customStyle="1" w:styleId="Heading2Char">
    <w:name w:val="Heading 2 Char"/>
    <w:basedOn w:val="DefaultParagraphFont"/>
    <w:link w:val="Heading2"/>
    <w:semiHidden/>
    <w:rsid w:val="00FC5DC3"/>
    <w:rPr>
      <w:rFonts w:ascii="Calibri" w:eastAsia="Times New Roman" w:hAnsi="Calibri" w:cs="Times New Roman"/>
      <w:b/>
      <w:i/>
      <w:szCs w:val="20"/>
      <w:lang w:val="en-AU" w:eastAsia="en-AU"/>
    </w:rPr>
  </w:style>
  <w:style w:type="paragraph" w:customStyle="1" w:styleId="ICRecommendationList1">
    <w:name w:val="IC Recommendation List 1"/>
    <w:basedOn w:val="Normal"/>
    <w:qFormat/>
    <w:rsid w:val="00FC5DC3"/>
    <w:pPr>
      <w:numPr>
        <w:numId w:val="2"/>
      </w:numPr>
      <w:spacing w:after="120"/>
    </w:pPr>
    <w:rPr>
      <w:color w:val="384BF0"/>
      <w:lang w:val="en-GB"/>
    </w:rPr>
  </w:style>
  <w:style w:type="paragraph" w:customStyle="1" w:styleId="ICRecommendationList2">
    <w:name w:val="IC Recommendation List 2"/>
    <w:basedOn w:val="ICRecommendationList1"/>
    <w:qFormat/>
    <w:rsid w:val="00FC5DC3"/>
    <w:pPr>
      <w:numPr>
        <w:ilvl w:val="1"/>
      </w:numPr>
    </w:pPr>
  </w:style>
  <w:style w:type="paragraph" w:styleId="ListParagraph">
    <w:name w:val="List Paragraph"/>
    <w:basedOn w:val="Normal"/>
    <w:uiPriority w:val="34"/>
    <w:unhideWhenUsed/>
    <w:qFormat/>
    <w:rsid w:val="00FC5DC3"/>
    <w:pPr>
      <w:ind w:left="720"/>
      <w:contextualSpacing/>
    </w:pPr>
  </w:style>
  <w:style w:type="table" w:styleId="TableGrid">
    <w:name w:val="Table Grid"/>
    <w:basedOn w:val="TableNormal"/>
    <w:uiPriority w:val="39"/>
    <w:rsid w:val="00FC5DC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1">
    <w:name w:val="IC Heading 1"/>
    <w:basedOn w:val="Normal"/>
    <w:next w:val="Normal"/>
    <w:qFormat/>
    <w:rsid w:val="00FC5DC3"/>
    <w:pPr>
      <w:keepNext/>
      <w:tabs>
        <w:tab w:val="left" w:pos="426"/>
      </w:tabs>
      <w:spacing w:before="240" w:after="60"/>
      <w:ind w:left="426" w:hanging="426"/>
      <w:outlineLvl w:val="0"/>
    </w:pPr>
    <w:rPr>
      <w:b/>
      <w:sz w:val="28"/>
      <w:szCs w:val="28"/>
      <w:lang w:val="en-AU"/>
    </w:rPr>
  </w:style>
  <w:style w:type="paragraph" w:styleId="ListBullet">
    <w:name w:val="List Bullet"/>
    <w:basedOn w:val="Normal"/>
    <w:unhideWhenUsed/>
    <w:rsid w:val="00FC5DC3"/>
    <w:pPr>
      <w:numPr>
        <w:numId w:val="1"/>
      </w:numPr>
      <w:tabs>
        <w:tab w:val="clear" w:pos="360"/>
      </w:tabs>
      <w:ind w:left="0" w:firstLine="0"/>
      <w:contextualSpacing/>
    </w:pPr>
  </w:style>
  <w:style w:type="paragraph" w:styleId="Header">
    <w:name w:val="header"/>
    <w:basedOn w:val="Normal"/>
    <w:link w:val="HeaderChar"/>
    <w:uiPriority w:val="99"/>
    <w:unhideWhenUsed/>
    <w:rsid w:val="00FC5DC3"/>
    <w:pPr>
      <w:tabs>
        <w:tab w:val="center" w:pos="4513"/>
        <w:tab w:val="right" w:pos="9026"/>
      </w:tabs>
    </w:pPr>
  </w:style>
  <w:style w:type="character" w:customStyle="1" w:styleId="HeaderChar">
    <w:name w:val="Header Char"/>
    <w:basedOn w:val="DefaultParagraphFont"/>
    <w:link w:val="Header"/>
    <w:uiPriority w:val="99"/>
    <w:rsid w:val="00FC5DC3"/>
    <w:rPr>
      <w:rFonts w:ascii="Calibri" w:eastAsia="Times New Roman" w:hAnsi="Calibri" w:cs="Times New Roman"/>
      <w:szCs w:val="24"/>
      <w:lang w:eastAsia="en-GB"/>
    </w:rPr>
  </w:style>
  <w:style w:type="paragraph" w:styleId="Footer">
    <w:name w:val="footer"/>
    <w:basedOn w:val="Normal"/>
    <w:link w:val="FooterChar"/>
    <w:uiPriority w:val="99"/>
    <w:unhideWhenUsed/>
    <w:rsid w:val="00FC5DC3"/>
    <w:pPr>
      <w:tabs>
        <w:tab w:val="center" w:pos="4513"/>
        <w:tab w:val="right" w:pos="9026"/>
      </w:tabs>
    </w:pPr>
  </w:style>
  <w:style w:type="character" w:customStyle="1" w:styleId="FooterChar">
    <w:name w:val="Footer Char"/>
    <w:basedOn w:val="DefaultParagraphFont"/>
    <w:link w:val="Footer"/>
    <w:uiPriority w:val="99"/>
    <w:rsid w:val="00FC5DC3"/>
    <w:rPr>
      <w:rFonts w:ascii="Calibri" w:eastAsia="Times New Roman" w:hAnsi="Calibri" w:cs="Times New Roman"/>
      <w:szCs w:val="24"/>
      <w:lang w:eastAsia="en-GB"/>
    </w:rPr>
  </w:style>
  <w:style w:type="paragraph" w:styleId="ListBullet2">
    <w:name w:val="List Bullet 2"/>
    <w:basedOn w:val="Normal"/>
    <w:uiPriority w:val="99"/>
    <w:unhideWhenUsed/>
    <w:rsid w:val="005C37C2"/>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Samantha</dc:creator>
  <cp:keywords/>
  <dc:description/>
  <cp:lastModifiedBy>Harrison, Sarah</cp:lastModifiedBy>
  <cp:revision>2</cp:revision>
  <cp:lastPrinted>2018-12-10T00:56:00Z</cp:lastPrinted>
  <dcterms:created xsi:type="dcterms:W3CDTF">2019-07-15T20:38:00Z</dcterms:created>
  <dcterms:modified xsi:type="dcterms:W3CDTF">2019-07-15T20:38:00Z</dcterms:modified>
</cp:coreProperties>
</file>